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650A66" w14:textId="77777777" w:rsidR="00DE346D" w:rsidRDefault="00F96BE3">
      <w:pPr>
        <w:pStyle w:val="BodyText"/>
        <w:rPr>
          <w:rFonts w:ascii="Times New Roman"/>
        </w:rPr>
      </w:pPr>
      <w:r>
        <w:pict w14:anchorId="7F650B44">
          <v:group id="_x0000_s2053" style="position:absolute;margin-left:-.5pt;margin-top:35.8pt;width:595.6pt;height:567.95pt;z-index:-15885312;mso-position-horizontal-relative:page;mso-position-vertical-relative:page" coordorigin="-10,716" coordsize="11912,11359">
            <v:shape id="_x0000_s2060"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left:5242;top:5292;width:6660;height:6280">
              <v:imagedata r:id="rId10" o:title=""/>
            </v:shape>
            <v:shape id="_x0000_s2058" style="position:absolute;left:1204;top:11026;width:3651;height:396" coordorigin="1204,11026" coordsize="3651,396" path="m4855,11026r-3402,l1204,11422r3401,l4855,11026xe" fillcolor="#004674" stroked="f">
              <v:path arrowok="t"/>
            </v:shape>
            <v:shape id="_x0000_s2057"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2056" style="position:absolute;left:2109;top:1661;width:587;height:1546" coordorigin="2109,1661" coordsize="587,1546" path="m2696,1661r-587,945l2109,3207r587,-945l2696,1661xe" fillcolor="#6c6d70" stroked="f">
              <v:path arrowok="t"/>
            </v:shape>
            <v:shape id="_x0000_s2055" style="position:absolute;left:2720;top:716;width:587;height:1246" coordorigin="2720,716" coordsize="587,1246" path="m2720,716r,601l3120,1962r187,-301l2720,716xe" fillcolor="#8dc53e" stroked="f">
              <v:path arrowok="t"/>
            </v:shape>
            <v:shape id="_x0000_s2054" style="position:absolute;left:2720;top:1661;width:587;height:1546" coordorigin="2720,1661" coordsize="587,1546" path="m3307,1661r-587,945l2720,3207r587,-945l3307,1661xe" fillcolor="#6c6d70" stroked="f">
              <v:path arrowok="t"/>
            </v:shape>
            <w10:wrap anchorx="page" anchory="page"/>
          </v:group>
        </w:pict>
      </w:r>
    </w:p>
    <w:p w14:paraId="7F650A67" w14:textId="77777777" w:rsidR="00DE346D" w:rsidRDefault="00DE346D">
      <w:pPr>
        <w:pStyle w:val="BodyText"/>
        <w:rPr>
          <w:rFonts w:ascii="Times New Roman"/>
        </w:rPr>
      </w:pPr>
    </w:p>
    <w:p w14:paraId="7F650A68" w14:textId="77777777" w:rsidR="00DE346D" w:rsidRDefault="00DE346D">
      <w:pPr>
        <w:pStyle w:val="BodyText"/>
        <w:rPr>
          <w:rFonts w:ascii="Times New Roman"/>
        </w:rPr>
      </w:pPr>
    </w:p>
    <w:p w14:paraId="7F650A69" w14:textId="77777777" w:rsidR="00DE346D" w:rsidRDefault="00DE346D">
      <w:pPr>
        <w:pStyle w:val="BodyText"/>
        <w:rPr>
          <w:rFonts w:ascii="Times New Roman"/>
        </w:rPr>
      </w:pPr>
    </w:p>
    <w:p w14:paraId="7F650A6A" w14:textId="77777777" w:rsidR="00DE346D" w:rsidRDefault="00DE346D">
      <w:pPr>
        <w:pStyle w:val="BodyText"/>
        <w:rPr>
          <w:rFonts w:ascii="Times New Roman"/>
        </w:rPr>
      </w:pPr>
    </w:p>
    <w:p w14:paraId="7F650A6B" w14:textId="77777777" w:rsidR="00DE346D" w:rsidRDefault="00DE346D">
      <w:pPr>
        <w:pStyle w:val="BodyText"/>
        <w:rPr>
          <w:rFonts w:ascii="Times New Roman"/>
        </w:rPr>
      </w:pPr>
    </w:p>
    <w:p w14:paraId="7F650A6C" w14:textId="77777777" w:rsidR="00DE346D" w:rsidRDefault="00DE346D">
      <w:pPr>
        <w:pStyle w:val="BodyText"/>
        <w:rPr>
          <w:rFonts w:ascii="Times New Roman"/>
        </w:rPr>
      </w:pPr>
    </w:p>
    <w:p w14:paraId="7F650A6D" w14:textId="77777777" w:rsidR="00DE346D" w:rsidRDefault="00DE346D">
      <w:pPr>
        <w:pStyle w:val="BodyText"/>
        <w:rPr>
          <w:rFonts w:ascii="Times New Roman"/>
        </w:rPr>
      </w:pPr>
    </w:p>
    <w:p w14:paraId="7F650A6E" w14:textId="77777777" w:rsidR="00DE346D" w:rsidRDefault="00DE346D">
      <w:pPr>
        <w:pStyle w:val="BodyText"/>
        <w:rPr>
          <w:rFonts w:ascii="Times New Roman"/>
        </w:rPr>
      </w:pPr>
    </w:p>
    <w:p w14:paraId="7F650A6F" w14:textId="77777777" w:rsidR="00DE346D" w:rsidRDefault="00DE346D">
      <w:pPr>
        <w:pStyle w:val="BodyText"/>
        <w:rPr>
          <w:rFonts w:ascii="Times New Roman"/>
        </w:rPr>
      </w:pPr>
    </w:p>
    <w:p w14:paraId="7F650A70" w14:textId="77777777" w:rsidR="00DE346D" w:rsidRDefault="00DE346D">
      <w:pPr>
        <w:pStyle w:val="BodyText"/>
        <w:rPr>
          <w:rFonts w:ascii="Times New Roman"/>
        </w:rPr>
      </w:pPr>
    </w:p>
    <w:p w14:paraId="7F650A71" w14:textId="77777777" w:rsidR="00DE346D" w:rsidRDefault="00A339EF" w:rsidP="00F96BE3">
      <w:pPr>
        <w:pStyle w:val="Heading1"/>
        <w:spacing w:before="222" w:line="264" w:lineRule="auto"/>
        <w:ind w:left="851" w:right="2652" w:hanging="142"/>
      </w:pPr>
      <w:r>
        <w:rPr>
          <w:color w:val="57585B"/>
        </w:rPr>
        <w:t>Решение - Препоръка на Съвета за намаляване на</w:t>
      </w:r>
    </w:p>
    <w:p w14:paraId="7F650A72" w14:textId="77777777" w:rsidR="00DE346D" w:rsidRDefault="00A339EF" w:rsidP="00E07757">
      <w:pPr>
        <w:ind w:left="1639" w:hanging="788"/>
        <w:rPr>
          <w:sz w:val="40"/>
        </w:rPr>
      </w:pPr>
      <w:r>
        <w:rPr>
          <w:color w:val="57585B"/>
          <w:sz w:val="40"/>
        </w:rPr>
        <w:t>трансграничното движение на</w:t>
      </w:r>
    </w:p>
    <w:p w14:paraId="7F650A73" w14:textId="77777777" w:rsidR="00DE346D" w:rsidRDefault="00A339EF" w:rsidP="00E07757">
      <w:pPr>
        <w:pStyle w:val="Heading1"/>
        <w:spacing w:before="47"/>
        <w:ind w:left="4880" w:hanging="3746"/>
      </w:pPr>
      <w:r>
        <w:rPr>
          <w:color w:val="57585B"/>
        </w:rPr>
        <w:t>отпадъци</w:t>
      </w:r>
    </w:p>
    <w:p w14:paraId="7F650A74" w14:textId="77777777" w:rsidR="00DE346D" w:rsidRDefault="00DE346D">
      <w:pPr>
        <w:pStyle w:val="BodyText"/>
      </w:pPr>
    </w:p>
    <w:p w14:paraId="7F650A75" w14:textId="77777777" w:rsidR="00DE346D" w:rsidRDefault="00DE346D">
      <w:pPr>
        <w:pStyle w:val="BodyText"/>
      </w:pPr>
    </w:p>
    <w:p w14:paraId="7F650A76" w14:textId="77777777" w:rsidR="00DE346D" w:rsidRDefault="00DE346D">
      <w:pPr>
        <w:pStyle w:val="BodyText"/>
      </w:pPr>
    </w:p>
    <w:p w14:paraId="7F650A77" w14:textId="77777777" w:rsidR="00DE346D" w:rsidRDefault="00DE346D">
      <w:pPr>
        <w:pStyle w:val="BodyText"/>
      </w:pPr>
    </w:p>
    <w:p w14:paraId="7F650A78" w14:textId="77777777" w:rsidR="00DE346D" w:rsidRDefault="00DE346D">
      <w:pPr>
        <w:pStyle w:val="BodyText"/>
      </w:pPr>
    </w:p>
    <w:p w14:paraId="7F650A79" w14:textId="77777777" w:rsidR="00DE346D" w:rsidRDefault="00DE346D">
      <w:pPr>
        <w:pStyle w:val="BodyText"/>
      </w:pPr>
    </w:p>
    <w:p w14:paraId="7F650A7A" w14:textId="77777777" w:rsidR="00DE346D" w:rsidRDefault="00DE346D">
      <w:pPr>
        <w:pStyle w:val="BodyText"/>
      </w:pPr>
    </w:p>
    <w:p w14:paraId="7F650A7B" w14:textId="77777777" w:rsidR="00DE346D" w:rsidRDefault="00DE346D">
      <w:pPr>
        <w:pStyle w:val="BodyText"/>
      </w:pPr>
    </w:p>
    <w:p w14:paraId="7F650A7C" w14:textId="77777777" w:rsidR="00DE346D" w:rsidRDefault="00DE346D">
      <w:pPr>
        <w:pStyle w:val="BodyText"/>
      </w:pPr>
    </w:p>
    <w:p w14:paraId="7F650A7D" w14:textId="77777777" w:rsidR="00DE346D" w:rsidRDefault="00DE346D">
      <w:pPr>
        <w:pStyle w:val="BodyText"/>
      </w:pPr>
    </w:p>
    <w:p w14:paraId="7F650A7E" w14:textId="77777777" w:rsidR="00DE346D" w:rsidRDefault="00DE346D">
      <w:pPr>
        <w:pStyle w:val="BodyText"/>
      </w:pPr>
    </w:p>
    <w:p w14:paraId="7F650A7F" w14:textId="77777777" w:rsidR="00DE346D" w:rsidRDefault="00DE346D">
      <w:pPr>
        <w:pStyle w:val="BodyText"/>
      </w:pPr>
    </w:p>
    <w:p w14:paraId="7F650A80" w14:textId="77777777" w:rsidR="00DE346D" w:rsidRDefault="00DE346D">
      <w:pPr>
        <w:pStyle w:val="BodyText"/>
      </w:pPr>
    </w:p>
    <w:p w14:paraId="7F650A81" w14:textId="77777777" w:rsidR="00DE346D" w:rsidRDefault="00DE346D">
      <w:pPr>
        <w:pStyle w:val="BodyText"/>
      </w:pPr>
    </w:p>
    <w:p w14:paraId="7F650A82" w14:textId="77777777" w:rsidR="00DE346D" w:rsidRDefault="00DE346D">
      <w:pPr>
        <w:pStyle w:val="BodyText"/>
      </w:pPr>
    </w:p>
    <w:p w14:paraId="7F650A83" w14:textId="77777777" w:rsidR="00DE346D" w:rsidRDefault="00DE346D">
      <w:pPr>
        <w:pStyle w:val="BodyText"/>
      </w:pPr>
    </w:p>
    <w:p w14:paraId="7F650A84" w14:textId="77777777" w:rsidR="00DE346D" w:rsidRDefault="00DE346D">
      <w:pPr>
        <w:pStyle w:val="BodyText"/>
      </w:pPr>
    </w:p>
    <w:p w14:paraId="7F650A85" w14:textId="77777777" w:rsidR="00DE346D" w:rsidRDefault="00DE346D">
      <w:pPr>
        <w:pStyle w:val="BodyText"/>
      </w:pPr>
    </w:p>
    <w:p w14:paraId="7F650A86" w14:textId="77777777" w:rsidR="00DE346D" w:rsidRDefault="00DE346D">
      <w:pPr>
        <w:pStyle w:val="BodyText"/>
      </w:pPr>
    </w:p>
    <w:p w14:paraId="7F650A87" w14:textId="77777777" w:rsidR="00DE346D" w:rsidRDefault="00DE346D">
      <w:pPr>
        <w:pStyle w:val="BodyText"/>
      </w:pPr>
    </w:p>
    <w:p w14:paraId="7F650A88" w14:textId="77777777" w:rsidR="00DE346D" w:rsidRDefault="00DE346D">
      <w:pPr>
        <w:pStyle w:val="BodyText"/>
      </w:pPr>
    </w:p>
    <w:p w14:paraId="7F650A89" w14:textId="77777777" w:rsidR="00DE346D" w:rsidRDefault="00DE346D">
      <w:pPr>
        <w:pStyle w:val="BodyText"/>
      </w:pPr>
    </w:p>
    <w:p w14:paraId="7F650A8A" w14:textId="77777777" w:rsidR="00DE346D" w:rsidRDefault="00DE346D">
      <w:pPr>
        <w:pStyle w:val="BodyText"/>
      </w:pPr>
    </w:p>
    <w:p w14:paraId="7F650A8B" w14:textId="77777777" w:rsidR="00DE346D" w:rsidRDefault="00DE346D">
      <w:pPr>
        <w:pStyle w:val="BodyText"/>
      </w:pPr>
    </w:p>
    <w:p w14:paraId="7F650A8C" w14:textId="77777777" w:rsidR="00DE346D" w:rsidRDefault="00DE346D">
      <w:pPr>
        <w:pStyle w:val="BodyText"/>
      </w:pPr>
    </w:p>
    <w:p w14:paraId="7F650A8D" w14:textId="77777777" w:rsidR="00DE346D" w:rsidRDefault="00A339EF" w:rsidP="00E07757">
      <w:pPr>
        <w:spacing w:before="322" w:line="204" w:lineRule="auto"/>
        <w:ind w:left="811" w:right="7088" w:hanging="811"/>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7F650A8E" w14:textId="77777777" w:rsidR="00DE346D" w:rsidRDefault="00DE346D">
      <w:pPr>
        <w:pStyle w:val="BodyText"/>
        <w:rPr>
          <w:rFonts w:ascii="Arial Black"/>
        </w:rPr>
      </w:pPr>
    </w:p>
    <w:p w14:paraId="7F650A8F" w14:textId="77777777" w:rsidR="00DE346D" w:rsidRDefault="00DE346D">
      <w:pPr>
        <w:pStyle w:val="BodyText"/>
        <w:rPr>
          <w:rFonts w:ascii="Arial Black"/>
        </w:rPr>
      </w:pPr>
    </w:p>
    <w:p w14:paraId="7F650A90" w14:textId="77777777" w:rsidR="00DE346D" w:rsidRDefault="00DE346D">
      <w:pPr>
        <w:pStyle w:val="BodyText"/>
        <w:rPr>
          <w:rFonts w:ascii="Arial Black"/>
        </w:rPr>
      </w:pPr>
    </w:p>
    <w:p w14:paraId="7F650A91" w14:textId="77777777" w:rsidR="00DE346D" w:rsidRDefault="00DE346D">
      <w:pPr>
        <w:pStyle w:val="BodyText"/>
        <w:rPr>
          <w:rFonts w:ascii="Arial Black"/>
        </w:rPr>
      </w:pPr>
    </w:p>
    <w:p w14:paraId="7F650A92" w14:textId="77777777" w:rsidR="00DE346D" w:rsidRDefault="00DE346D">
      <w:pPr>
        <w:pStyle w:val="BodyText"/>
        <w:rPr>
          <w:rFonts w:ascii="Arial Black"/>
        </w:rPr>
      </w:pPr>
    </w:p>
    <w:p w14:paraId="7F650A93" w14:textId="77777777" w:rsidR="00DE346D" w:rsidRDefault="00DE346D">
      <w:pPr>
        <w:pStyle w:val="BodyText"/>
        <w:rPr>
          <w:rFonts w:ascii="Arial Black"/>
        </w:rPr>
      </w:pPr>
    </w:p>
    <w:p w14:paraId="7F650A94" w14:textId="77777777" w:rsidR="00DE346D" w:rsidRDefault="00DE346D">
      <w:pPr>
        <w:pStyle w:val="BodyText"/>
        <w:rPr>
          <w:rFonts w:ascii="Arial Black"/>
        </w:rPr>
      </w:pPr>
    </w:p>
    <w:p w14:paraId="7F650A95" w14:textId="77777777" w:rsidR="00DE346D" w:rsidRDefault="00DE346D">
      <w:pPr>
        <w:pStyle w:val="BodyText"/>
        <w:rPr>
          <w:rFonts w:ascii="Arial Black"/>
        </w:rPr>
      </w:pPr>
    </w:p>
    <w:p w14:paraId="7F650A96" w14:textId="77777777" w:rsidR="00DE346D" w:rsidRDefault="00DE346D">
      <w:pPr>
        <w:pStyle w:val="BodyText"/>
        <w:rPr>
          <w:rFonts w:ascii="Arial Black"/>
        </w:rPr>
      </w:pPr>
    </w:p>
    <w:p w14:paraId="7F650A97" w14:textId="77777777" w:rsidR="00DE346D" w:rsidRDefault="00DE346D">
      <w:pPr>
        <w:pStyle w:val="BodyText"/>
        <w:rPr>
          <w:rFonts w:ascii="Arial Black"/>
        </w:rPr>
      </w:pPr>
    </w:p>
    <w:p w14:paraId="7F650A98" w14:textId="77777777" w:rsidR="00DE346D" w:rsidRDefault="00A339EF">
      <w:pPr>
        <w:pStyle w:val="BodyText"/>
        <w:spacing w:before="6"/>
        <w:rPr>
          <w:rFonts w:ascii="Arial Black"/>
          <w:sz w:val="19"/>
        </w:rPr>
      </w:pPr>
      <w:r>
        <w:rPr>
          <w:noProof/>
        </w:rPr>
        <w:drawing>
          <wp:anchor distT="0" distB="0" distL="0" distR="0" simplePos="0" relativeHeight="251659264" behindDoc="0" locked="0" layoutInCell="1" allowOverlap="1" wp14:anchorId="7F650B45" wp14:editId="7F650B46">
            <wp:simplePos x="0" y="0"/>
            <wp:positionH relativeFrom="page">
              <wp:posOffset>5058409</wp:posOffset>
            </wp:positionH>
            <wp:positionV relativeFrom="paragraph">
              <wp:posOffset>199050</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2165036" cy="666750"/>
                    </a:xfrm>
                    <a:prstGeom prst="rect">
                      <a:avLst/>
                    </a:prstGeom>
                  </pic:spPr>
                </pic:pic>
              </a:graphicData>
            </a:graphic>
          </wp:anchor>
        </w:drawing>
      </w:r>
    </w:p>
    <w:p w14:paraId="7F650A99" w14:textId="77777777" w:rsidR="00DE346D" w:rsidRDefault="00DE346D">
      <w:pPr>
        <w:rPr>
          <w:rFonts w:ascii="Arial Black"/>
          <w:sz w:val="19"/>
        </w:rPr>
        <w:sectPr w:rsidR="00DE346D">
          <w:type w:val="continuous"/>
          <w:pgSz w:w="11920" w:h="16850"/>
          <w:pgMar w:top="720" w:right="420" w:bottom="280" w:left="1680" w:header="720" w:footer="720" w:gutter="0"/>
          <w:cols w:space="720"/>
        </w:sectPr>
      </w:pPr>
    </w:p>
    <w:p w14:paraId="7F650A9A" w14:textId="77777777" w:rsidR="00DE346D" w:rsidRDefault="00DE346D">
      <w:pPr>
        <w:pStyle w:val="BodyText"/>
        <w:rPr>
          <w:rFonts w:ascii="Arial Black"/>
        </w:rPr>
      </w:pPr>
    </w:p>
    <w:p w14:paraId="7F650A9B" w14:textId="77777777" w:rsidR="00DE346D" w:rsidRDefault="00DE346D">
      <w:pPr>
        <w:pStyle w:val="BodyText"/>
        <w:rPr>
          <w:rFonts w:ascii="Arial Black"/>
        </w:rPr>
      </w:pPr>
    </w:p>
    <w:p w14:paraId="7F650A9C" w14:textId="77777777" w:rsidR="00DE346D" w:rsidRDefault="00DE346D">
      <w:pPr>
        <w:pStyle w:val="BodyText"/>
        <w:rPr>
          <w:rFonts w:ascii="Arial Black"/>
        </w:rPr>
      </w:pPr>
    </w:p>
    <w:p w14:paraId="7F650A9D" w14:textId="77777777" w:rsidR="00DE346D" w:rsidRDefault="00DE346D">
      <w:pPr>
        <w:pStyle w:val="BodyText"/>
        <w:rPr>
          <w:rFonts w:ascii="Arial Black"/>
        </w:rPr>
      </w:pPr>
    </w:p>
    <w:p w14:paraId="7F650A9E" w14:textId="77777777" w:rsidR="00DE346D" w:rsidRDefault="00DE346D">
      <w:pPr>
        <w:pStyle w:val="BodyText"/>
        <w:rPr>
          <w:rFonts w:ascii="Arial Black"/>
        </w:rPr>
      </w:pPr>
    </w:p>
    <w:p w14:paraId="7F650A9F" w14:textId="77777777" w:rsidR="00DE346D" w:rsidRDefault="00DE346D">
      <w:pPr>
        <w:pStyle w:val="BodyText"/>
        <w:spacing w:before="1"/>
        <w:rPr>
          <w:rFonts w:ascii="Arial Black"/>
          <w:sz w:val="22"/>
        </w:rPr>
      </w:pPr>
    </w:p>
    <w:p w14:paraId="7F650AA0" w14:textId="77777777" w:rsidR="00DE346D" w:rsidRDefault="00A339EF">
      <w:pPr>
        <w:spacing w:before="94" w:line="242" w:lineRule="auto"/>
        <w:ind w:left="177" w:right="397"/>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официалните възгледи на страните-членки на ОИСР.</w:t>
      </w:r>
    </w:p>
    <w:p w14:paraId="7F650AA1" w14:textId="77777777" w:rsidR="00DE346D" w:rsidRDefault="00DE346D">
      <w:pPr>
        <w:pStyle w:val="BodyText"/>
        <w:spacing w:before="10"/>
        <w:rPr>
          <w:sz w:val="15"/>
        </w:rPr>
      </w:pPr>
    </w:p>
    <w:p w14:paraId="7F650AA2" w14:textId="77777777" w:rsidR="00DE346D" w:rsidRDefault="00A339EF">
      <w:pPr>
        <w:spacing w:line="242" w:lineRule="auto"/>
        <w:ind w:left="177" w:right="395"/>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територия, град или област.</w:t>
      </w:r>
    </w:p>
    <w:p w14:paraId="7F650AA3" w14:textId="77777777" w:rsidR="00DE346D" w:rsidRDefault="00DE346D">
      <w:pPr>
        <w:pStyle w:val="BodyText"/>
      </w:pPr>
    </w:p>
    <w:p w14:paraId="7F650AA4" w14:textId="77777777" w:rsidR="00DE346D" w:rsidRDefault="00DE346D">
      <w:pPr>
        <w:pStyle w:val="BodyText"/>
      </w:pPr>
    </w:p>
    <w:p w14:paraId="7F650AA5" w14:textId="77777777" w:rsidR="00DE346D" w:rsidRDefault="00DE346D">
      <w:pPr>
        <w:pStyle w:val="BodyText"/>
      </w:pPr>
    </w:p>
    <w:p w14:paraId="7F650AA6" w14:textId="77777777" w:rsidR="00DE346D" w:rsidRDefault="00DE346D">
      <w:pPr>
        <w:pStyle w:val="BodyText"/>
      </w:pPr>
    </w:p>
    <w:p w14:paraId="7F650AA7" w14:textId="77777777" w:rsidR="00DE346D" w:rsidRDefault="00DE346D">
      <w:pPr>
        <w:pStyle w:val="BodyText"/>
      </w:pPr>
    </w:p>
    <w:p w14:paraId="7F650AA8" w14:textId="77777777" w:rsidR="00DE346D" w:rsidRDefault="00DE346D">
      <w:pPr>
        <w:pStyle w:val="BodyText"/>
      </w:pPr>
    </w:p>
    <w:p w14:paraId="7F650AA9" w14:textId="77777777" w:rsidR="00DE346D" w:rsidRDefault="00DE346D">
      <w:pPr>
        <w:pStyle w:val="BodyText"/>
      </w:pPr>
    </w:p>
    <w:p w14:paraId="7F650AAA" w14:textId="77777777" w:rsidR="00DE346D" w:rsidRDefault="00DE346D">
      <w:pPr>
        <w:pStyle w:val="BodyText"/>
      </w:pPr>
    </w:p>
    <w:p w14:paraId="7F650AAB" w14:textId="77777777" w:rsidR="00DE346D" w:rsidRDefault="00DE346D">
      <w:pPr>
        <w:pStyle w:val="BodyText"/>
      </w:pPr>
    </w:p>
    <w:p w14:paraId="7F650AAC" w14:textId="77777777" w:rsidR="00DE346D" w:rsidRDefault="00DE346D">
      <w:pPr>
        <w:pStyle w:val="BodyText"/>
      </w:pPr>
    </w:p>
    <w:p w14:paraId="7F650AAD" w14:textId="77777777" w:rsidR="00DE346D" w:rsidRDefault="00DE346D">
      <w:pPr>
        <w:pStyle w:val="BodyText"/>
      </w:pPr>
    </w:p>
    <w:p w14:paraId="7F650AAE" w14:textId="77777777" w:rsidR="00DE346D" w:rsidRDefault="00DE346D">
      <w:pPr>
        <w:pStyle w:val="BodyText"/>
      </w:pPr>
    </w:p>
    <w:p w14:paraId="7F650AAF" w14:textId="77777777" w:rsidR="00DE346D" w:rsidRDefault="00DE346D">
      <w:pPr>
        <w:pStyle w:val="BodyText"/>
      </w:pPr>
    </w:p>
    <w:p w14:paraId="7F650AB0" w14:textId="77777777" w:rsidR="00DE346D" w:rsidRDefault="00DE346D">
      <w:pPr>
        <w:pStyle w:val="BodyText"/>
      </w:pPr>
    </w:p>
    <w:p w14:paraId="7F650AB1" w14:textId="77777777" w:rsidR="00DE346D" w:rsidRDefault="00DE346D">
      <w:pPr>
        <w:pStyle w:val="BodyText"/>
      </w:pPr>
    </w:p>
    <w:p w14:paraId="7F650AB2" w14:textId="77777777" w:rsidR="00DE346D" w:rsidRDefault="00DE346D">
      <w:pPr>
        <w:pStyle w:val="BodyText"/>
      </w:pPr>
    </w:p>
    <w:p w14:paraId="7F650AB3" w14:textId="77777777" w:rsidR="00DE346D" w:rsidRDefault="00DE346D">
      <w:pPr>
        <w:pStyle w:val="BodyText"/>
      </w:pPr>
    </w:p>
    <w:p w14:paraId="7F650AB4" w14:textId="77777777" w:rsidR="00DE346D" w:rsidRDefault="00DE346D">
      <w:pPr>
        <w:pStyle w:val="BodyText"/>
      </w:pPr>
    </w:p>
    <w:p w14:paraId="7F650AB5" w14:textId="77777777" w:rsidR="00DE346D" w:rsidRDefault="00DE346D">
      <w:pPr>
        <w:pStyle w:val="BodyText"/>
      </w:pPr>
    </w:p>
    <w:p w14:paraId="7F650AB6" w14:textId="77777777" w:rsidR="00DE346D" w:rsidRDefault="00DE346D">
      <w:pPr>
        <w:pStyle w:val="BodyText"/>
      </w:pPr>
    </w:p>
    <w:p w14:paraId="7F650AB7" w14:textId="77777777" w:rsidR="00DE346D" w:rsidRDefault="00DE346D">
      <w:pPr>
        <w:pStyle w:val="BodyText"/>
      </w:pPr>
    </w:p>
    <w:p w14:paraId="7F650AB8" w14:textId="77777777" w:rsidR="00DE346D" w:rsidRDefault="00DE346D">
      <w:pPr>
        <w:pStyle w:val="BodyText"/>
      </w:pPr>
    </w:p>
    <w:p w14:paraId="7F650AB9" w14:textId="77777777" w:rsidR="00DE346D" w:rsidRDefault="00DE346D">
      <w:pPr>
        <w:pStyle w:val="BodyText"/>
      </w:pPr>
    </w:p>
    <w:p w14:paraId="7F650ABA" w14:textId="77777777" w:rsidR="00DE346D" w:rsidRDefault="00DE346D">
      <w:pPr>
        <w:pStyle w:val="BodyText"/>
      </w:pPr>
    </w:p>
    <w:p w14:paraId="7F650ABB" w14:textId="77777777" w:rsidR="00DE346D" w:rsidRDefault="00DE346D">
      <w:pPr>
        <w:pStyle w:val="BodyText"/>
      </w:pPr>
    </w:p>
    <w:p w14:paraId="7F650ABC" w14:textId="77777777" w:rsidR="00DE346D" w:rsidRDefault="00DE346D">
      <w:pPr>
        <w:pStyle w:val="BodyText"/>
      </w:pPr>
    </w:p>
    <w:p w14:paraId="7F650ABD" w14:textId="77777777" w:rsidR="00DE346D" w:rsidRDefault="00DE346D">
      <w:pPr>
        <w:pStyle w:val="BodyText"/>
      </w:pPr>
    </w:p>
    <w:p w14:paraId="7F650ABE" w14:textId="77777777" w:rsidR="00DE346D" w:rsidRDefault="00DE346D">
      <w:pPr>
        <w:pStyle w:val="BodyText"/>
        <w:spacing w:before="1"/>
        <w:rPr>
          <w:sz w:val="22"/>
        </w:rPr>
      </w:pPr>
    </w:p>
    <w:p w14:paraId="7F650ABF" w14:textId="77777777" w:rsidR="00DE346D" w:rsidRDefault="00A339EF">
      <w:pPr>
        <w:spacing w:line="242" w:lineRule="auto"/>
        <w:ind w:left="177"/>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2">
        <w:r>
          <w:rPr>
            <w:color w:val="0000ED"/>
            <w:sz w:val="18"/>
            <w:u w:val="single" w:color="0000ED"/>
          </w:rPr>
          <w:t>http://legalinstruments.oecd.org</w:t>
        </w:r>
      </w:hyperlink>
      <w:r>
        <w:t xml:space="preserve"> </w:t>
      </w:r>
      <w:r>
        <w:rPr>
          <w:sz w:val="18"/>
        </w:rPr>
        <w:t>.</w:t>
      </w:r>
    </w:p>
    <w:p w14:paraId="7F650AC0" w14:textId="77777777" w:rsidR="00DE346D" w:rsidRDefault="00F96BE3">
      <w:pPr>
        <w:pStyle w:val="BodyText"/>
        <w:rPr>
          <w:sz w:val="14"/>
        </w:rPr>
      </w:pPr>
      <w:r>
        <w:pict w14:anchorId="7F650B48">
          <v:shapetype id="_x0000_t202" coordsize="21600,21600" o:spt="202" path="m,l,21600r21600,l21600,xe">
            <v:stroke joinstyle="miter"/>
            <v:path gradientshapeok="t" o:connecttype="rect"/>
          </v:shapetype>
          <v:shape id="_x0000_s2052" type="#_x0000_t202" style="position:absolute;margin-left:76.85pt;margin-top:9.3pt;width:441.5pt;height:32pt;z-index:-15727616;mso-wrap-distance-left:0;mso-wrap-distance-right:0;mso-position-horizontal-relative:page" fillcolor="#dcd8c2" stroked="f">
            <v:textbox inset="0,0,0,0">
              <w:txbxContent>
                <w:p w14:paraId="7F650B52" w14:textId="77777777" w:rsidR="00DE346D" w:rsidRDefault="00A339EF">
                  <w:pPr>
                    <w:spacing w:before="1"/>
                    <w:rPr>
                      <w:b/>
                      <w:sz w:val="18"/>
                    </w:rPr>
                  </w:pPr>
                  <w:r>
                    <w:rPr>
                      <w:b/>
                      <w:sz w:val="18"/>
                    </w:rPr>
                    <w:t>Моля, цитирайте този документ като:</w:t>
                  </w:r>
                </w:p>
                <w:p w14:paraId="7F650B53" w14:textId="77777777" w:rsidR="00DE346D" w:rsidRDefault="00A339EF">
                  <w:pPr>
                    <w:spacing w:before="8" w:line="242" w:lineRule="auto"/>
                    <w:rPr>
                      <w:sz w:val="18"/>
                    </w:rPr>
                  </w:pPr>
                  <w:r>
                    <w:rPr>
                      <w:sz w:val="18"/>
                    </w:rPr>
                    <w:t xml:space="preserve">OECD, </w:t>
                  </w:r>
                  <w:r>
                    <w:rPr>
                      <w:i/>
                      <w:sz w:val="18"/>
                    </w:rPr>
                    <w:t>Решение - Препоръка на Съвета за намаляване на трансграничното движение на отпадъци</w:t>
                  </w:r>
                  <w:r>
                    <w:rPr>
                      <w:sz w:val="18"/>
                    </w:rPr>
                    <w:t>, OECD/LEGAL/0260</w:t>
                  </w:r>
                </w:p>
              </w:txbxContent>
            </v:textbox>
            <w10:wrap type="topAndBottom" anchorx="page"/>
          </v:shape>
        </w:pict>
      </w:r>
    </w:p>
    <w:p w14:paraId="7F650AC1" w14:textId="77777777" w:rsidR="00DE346D" w:rsidRDefault="00DE346D">
      <w:pPr>
        <w:pStyle w:val="BodyText"/>
        <w:rPr>
          <w:sz w:val="15"/>
        </w:rPr>
      </w:pPr>
    </w:p>
    <w:p w14:paraId="7F650AC2" w14:textId="77777777" w:rsidR="00DE346D" w:rsidRDefault="00A339EF">
      <w:pPr>
        <w:spacing w:before="96"/>
        <w:ind w:left="177"/>
        <w:jc w:val="both"/>
        <w:rPr>
          <w:sz w:val="14"/>
        </w:rPr>
      </w:pPr>
      <w:r>
        <w:rPr>
          <w:sz w:val="14"/>
        </w:rPr>
        <w:t>Серия: Правни инструменти на ОИСР</w:t>
      </w:r>
    </w:p>
    <w:p w14:paraId="7F650AC3" w14:textId="77777777" w:rsidR="00DE346D" w:rsidRDefault="00DE346D">
      <w:pPr>
        <w:pStyle w:val="BodyText"/>
        <w:rPr>
          <w:sz w:val="16"/>
        </w:rPr>
      </w:pPr>
    </w:p>
    <w:p w14:paraId="7F650AC4" w14:textId="77777777" w:rsidR="00DE346D" w:rsidRDefault="00DE346D">
      <w:pPr>
        <w:pStyle w:val="BodyText"/>
        <w:rPr>
          <w:sz w:val="16"/>
        </w:rPr>
      </w:pPr>
    </w:p>
    <w:p w14:paraId="7F650AC5" w14:textId="77777777" w:rsidR="00DE346D" w:rsidRDefault="00DE346D">
      <w:pPr>
        <w:pStyle w:val="BodyText"/>
        <w:spacing w:before="3"/>
        <w:rPr>
          <w:sz w:val="17"/>
        </w:rPr>
      </w:pPr>
    </w:p>
    <w:p w14:paraId="7F650AC6" w14:textId="77777777" w:rsidR="00DE346D" w:rsidRDefault="00A339EF">
      <w:pPr>
        <w:ind w:left="177"/>
        <w:jc w:val="both"/>
        <w:rPr>
          <w:sz w:val="18"/>
        </w:rPr>
      </w:pPr>
      <w:r>
        <w:rPr>
          <w:sz w:val="18"/>
        </w:rPr>
        <w:t>© ОИСР 2021</w:t>
      </w:r>
    </w:p>
    <w:p w14:paraId="7F650AC7" w14:textId="77777777" w:rsidR="00DE346D" w:rsidRDefault="00F96BE3">
      <w:pPr>
        <w:pStyle w:val="BodyText"/>
        <w:rPr>
          <w:sz w:val="22"/>
        </w:rPr>
      </w:pPr>
      <w:r>
        <w:pict w14:anchorId="7F650B49">
          <v:rect id="_x0000_s2051" style="position:absolute;margin-left:76.85pt;margin-top:14.6pt;width:441.5pt;height:.5pt;z-index:-15727104;mso-wrap-distance-left:0;mso-wrap-distance-right:0;mso-position-horizontal-relative:page" fillcolor="black" stroked="f">
            <w10:wrap type="topAndBottom" anchorx="page"/>
          </v:rect>
        </w:pict>
      </w:r>
    </w:p>
    <w:p w14:paraId="7F650AC8" w14:textId="77777777" w:rsidR="00DE346D" w:rsidRDefault="00A339EF">
      <w:pPr>
        <w:spacing w:before="83" w:line="242" w:lineRule="auto"/>
        <w:ind w:left="177" w:right="401"/>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7F650AC9" w14:textId="77777777" w:rsidR="00DE346D" w:rsidRDefault="00DE346D">
      <w:pPr>
        <w:pStyle w:val="BodyText"/>
        <w:spacing w:before="6"/>
        <w:rPr>
          <w:sz w:val="10"/>
        </w:rPr>
      </w:pPr>
    </w:p>
    <w:p w14:paraId="7F650ACA" w14:textId="77777777" w:rsidR="00DE346D" w:rsidRDefault="00F96BE3">
      <w:pPr>
        <w:spacing w:line="252" w:lineRule="auto"/>
        <w:ind w:left="177" w:right="397"/>
        <w:jc w:val="both"/>
        <w:rPr>
          <w:i/>
          <w:sz w:val="12"/>
        </w:rPr>
      </w:pPr>
      <w:r>
        <w:pict w14:anchorId="7F650B4A">
          <v:rect id="_x0000_s2050" style="position:absolute;left:0;text-align:left;margin-left:76.85pt;margin-top:35.15pt;width:441.5pt;height:.5pt;z-index:-15726592;mso-wrap-distance-left:0;mso-wrap-distance-right:0;mso-position-horizontal-relative:page" fillcolor="black" stroked="f">
            <w10:wrap type="topAndBottom" anchorx="page"/>
          </v:rect>
        </w:pict>
      </w:r>
      <w:r w:rsidR="00A339EF">
        <w:rPr>
          <w:sz w:val="12"/>
        </w:rPr>
        <w:t xml:space="preserve">Този документ е достъпен на двата официални езика на ОИСР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sidR="00A339EF">
        <w:rPr>
          <w:i/>
          <w:sz w:val="12"/>
        </w:rPr>
        <w:t>„Този превод е изготвен от [ИМЕ НА АВТОРА НА ПРЕВОДА] само с информационна цел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rsidR="00A339EF">
        <w:t xml:space="preserve"> </w:t>
      </w:r>
      <w:hyperlink r:id="rId13">
        <w:r w:rsidR="00A339EF">
          <w:rPr>
            <w:i/>
            <w:color w:val="0000ED"/>
            <w:sz w:val="12"/>
            <w:u w:val="single" w:color="0000ED"/>
          </w:rPr>
          <w:t>http://legalinstruments.oecd.org</w:t>
        </w:r>
      </w:hyperlink>
      <w:r w:rsidR="00A339EF">
        <w:t xml:space="preserve"> </w:t>
      </w:r>
      <w:r w:rsidR="00A339EF">
        <w:rPr>
          <w:i/>
          <w:sz w:val="12"/>
        </w:rPr>
        <w:t>"</w:t>
      </w:r>
    </w:p>
    <w:p w14:paraId="7F650ACB" w14:textId="77777777" w:rsidR="00DE346D" w:rsidRDefault="00DE346D">
      <w:pPr>
        <w:spacing w:line="252" w:lineRule="auto"/>
        <w:jc w:val="both"/>
        <w:rPr>
          <w:sz w:val="12"/>
        </w:rPr>
        <w:sectPr w:rsidR="00DE346D">
          <w:pgSz w:w="11910" w:h="16840"/>
          <w:pgMar w:top="1580" w:right="1139" w:bottom="280" w:left="1360" w:header="720" w:footer="720" w:gutter="0"/>
          <w:cols w:space="720"/>
        </w:sectPr>
      </w:pPr>
    </w:p>
    <w:p w14:paraId="7F650ACC" w14:textId="77777777" w:rsidR="00DE346D" w:rsidRDefault="00A339EF">
      <w:pPr>
        <w:pStyle w:val="Heading2"/>
        <w:spacing w:before="82"/>
        <w:ind w:left="177"/>
      </w:pPr>
      <w:r>
        <w:rPr>
          <w:color w:val="1E487C"/>
        </w:rPr>
        <w:lastRenderedPageBreak/>
        <w:t>Обща информация</w:t>
      </w:r>
    </w:p>
    <w:p w14:paraId="7F650ACD" w14:textId="77777777" w:rsidR="00DE346D" w:rsidRDefault="00DE346D">
      <w:pPr>
        <w:pStyle w:val="BodyText"/>
        <w:rPr>
          <w:b/>
          <w:sz w:val="26"/>
        </w:rPr>
      </w:pPr>
    </w:p>
    <w:p w14:paraId="7F650ACE" w14:textId="77777777" w:rsidR="00DE346D" w:rsidRDefault="00DE346D">
      <w:pPr>
        <w:pStyle w:val="BodyText"/>
        <w:spacing w:before="3"/>
        <w:rPr>
          <w:b/>
          <w:sz w:val="23"/>
        </w:rPr>
      </w:pPr>
    </w:p>
    <w:p w14:paraId="7F650ACF" w14:textId="77777777" w:rsidR="00DE346D" w:rsidRDefault="00A339EF">
      <w:pPr>
        <w:pStyle w:val="BodyText"/>
        <w:ind w:left="177" w:right="393"/>
        <w:jc w:val="both"/>
      </w:pPr>
      <w:r>
        <w:t>Решението - Препоръка за намаляване на трансграничното движение на отпадъци беше прието от Съвета на ОИСР на 31 януари 1991 г. по предложение на Комитета по околна среда (сега наричан Комитет по екологична политика). Това решение-препоръка е първият акт на ОИСР, сключен след приемането на Базелската конвенция. Това е и първият закон, регулиращ трансграничните движения на неопасни отпадъци, в допълнение към тези на опасни отпадъци. Решението призовава присъединилите се страни да намалят до минимум износа на всички отпадъци за окончателно обезвреждане, в съответствие с екологично чисти и ефективни практики за управление. То също така насърчава присъединилите се страни да създадат допълнителна и подходяща инфраструктура за управление на отпадъците в рамките на собствената си територия и да разработят двустранни или регионални планове за гарантиране на екологосъобразно управление на тези отпадъци, в случай че такава инфраструктура не може да бъде създадена. Решението признава желателността на подходящо контролирана международна търговия с отпадъчни материали, предназначени за оползотворяване, и че ефикасното и екологосъобразно управление на отпадъците може да оправдае някои трансгранични движения, за да се използват подходящи съоръжения за оползотворяване или обезвреждане в други страни.</w:t>
      </w:r>
    </w:p>
    <w:p w14:paraId="7F650AD0" w14:textId="77777777" w:rsidR="00DE346D" w:rsidRDefault="00DE346D">
      <w:pPr>
        <w:jc w:val="both"/>
        <w:sectPr w:rsidR="00DE346D">
          <w:headerReference w:type="even" r:id="rId14"/>
          <w:headerReference w:type="default" r:id="rId15"/>
          <w:pgSz w:w="11910" w:h="16840"/>
          <w:pgMar w:top="1340" w:right="1139" w:bottom="280" w:left="1360" w:header="849" w:footer="0" w:gutter="0"/>
          <w:pgNumType w:start="3"/>
          <w:cols w:space="720"/>
        </w:sectPr>
      </w:pPr>
    </w:p>
    <w:p w14:paraId="7F650AD1" w14:textId="77777777" w:rsidR="00DE346D" w:rsidRDefault="00DE346D">
      <w:pPr>
        <w:pStyle w:val="BodyText"/>
      </w:pPr>
    </w:p>
    <w:p w14:paraId="7F650AD2" w14:textId="77777777" w:rsidR="00DE346D" w:rsidRDefault="00DE346D">
      <w:pPr>
        <w:pStyle w:val="BodyText"/>
        <w:spacing w:before="6"/>
        <w:rPr>
          <w:sz w:val="27"/>
        </w:rPr>
      </w:pPr>
    </w:p>
    <w:p w14:paraId="7F650AD3" w14:textId="77777777" w:rsidR="00DE346D" w:rsidRDefault="00A339EF">
      <w:pPr>
        <w:pStyle w:val="Heading3"/>
        <w:spacing w:before="93"/>
      </w:pPr>
      <w:r>
        <w:t>СЪВЕТЪТ,</w:t>
      </w:r>
    </w:p>
    <w:p w14:paraId="7F650AD4" w14:textId="77777777" w:rsidR="00DE346D" w:rsidRDefault="00DE346D">
      <w:pPr>
        <w:pStyle w:val="BodyText"/>
        <w:spacing w:before="2"/>
        <w:rPr>
          <w:b/>
          <w:sz w:val="24"/>
        </w:rPr>
      </w:pPr>
    </w:p>
    <w:p w14:paraId="7F650AD5" w14:textId="77777777" w:rsidR="00DE346D" w:rsidRDefault="00A339EF">
      <w:pPr>
        <w:pStyle w:val="BodyText"/>
        <w:spacing w:line="242" w:lineRule="auto"/>
        <w:ind w:left="188" w:right="107"/>
        <w:jc w:val="both"/>
      </w:pPr>
      <w:r>
        <w:rPr>
          <w:b/>
        </w:rPr>
        <w:t>КАТО ВЗЕ ПРЕДВИД</w:t>
      </w:r>
      <w:r>
        <w:t xml:space="preserve"> членове 5а) и 5б) от Конвенцията за Организацията за икономическо сътрудничество и развитие от 14 декември 1960 г.;</w:t>
      </w:r>
    </w:p>
    <w:p w14:paraId="7F650AD6" w14:textId="77777777" w:rsidR="00DE346D" w:rsidRDefault="00DE346D">
      <w:pPr>
        <w:pStyle w:val="BodyText"/>
        <w:spacing w:before="10"/>
        <w:rPr>
          <w:sz w:val="23"/>
        </w:rPr>
      </w:pPr>
    </w:p>
    <w:p w14:paraId="7F650AD7" w14:textId="77777777" w:rsidR="00DE346D" w:rsidRDefault="00A339EF">
      <w:pPr>
        <w:pStyle w:val="BodyText"/>
        <w:spacing w:before="1" w:line="242" w:lineRule="auto"/>
        <w:ind w:left="188" w:right="111"/>
        <w:jc w:val="both"/>
      </w:pPr>
      <w:r>
        <w:rPr>
          <w:b/>
        </w:rPr>
        <w:t>КАТО ВЗЕ ПРЕДВИД</w:t>
      </w:r>
      <w:r>
        <w:t xml:space="preserve"> Решението - Препоръка на Съвета от 1 февруари 1984 г. относно трансграничното движение на опасни отпадъци [C(83)180(Final)], което изисква от страните-членки да контролират трансграничното движение на опасни отпадъци;</w:t>
      </w:r>
    </w:p>
    <w:p w14:paraId="7F650AD8" w14:textId="77777777" w:rsidR="00DE346D" w:rsidRDefault="00DE346D">
      <w:pPr>
        <w:pStyle w:val="BodyText"/>
        <w:spacing w:before="8"/>
        <w:rPr>
          <w:sz w:val="23"/>
        </w:rPr>
      </w:pPr>
    </w:p>
    <w:p w14:paraId="7F650AD9" w14:textId="77777777" w:rsidR="00DE346D" w:rsidRDefault="00A339EF">
      <w:pPr>
        <w:pStyle w:val="BodyText"/>
        <w:spacing w:line="242" w:lineRule="auto"/>
        <w:ind w:left="188" w:right="105"/>
        <w:jc w:val="both"/>
      </w:pPr>
      <w:r>
        <w:rPr>
          <w:b/>
        </w:rPr>
        <w:t>КАТО ВЗЕ ПРЕДВИД</w:t>
      </w:r>
      <w:r>
        <w:t xml:space="preserve"> Решението - Препоръка на Съвета от 5 юни 1986 г. относно износа на опасни отпадъци от зоната на ОИСР [C(86)64(Final)], което, inter alia, забранява движението на опасни отпадъци до крайно местоназначение в страна, която не е членка, без съгласието на тази страна и предварителното уведомяване на всяка страна на транзит за предложените движения;</w:t>
      </w:r>
    </w:p>
    <w:p w14:paraId="7F650ADA" w14:textId="77777777" w:rsidR="00DE346D" w:rsidRDefault="00DE346D">
      <w:pPr>
        <w:pStyle w:val="BodyText"/>
        <w:spacing w:before="7"/>
        <w:rPr>
          <w:sz w:val="23"/>
        </w:rPr>
      </w:pPr>
    </w:p>
    <w:p w14:paraId="7F650ADB" w14:textId="77777777" w:rsidR="00DE346D" w:rsidRDefault="00A339EF">
      <w:pPr>
        <w:pStyle w:val="BodyText"/>
        <w:spacing w:line="242" w:lineRule="auto"/>
        <w:ind w:left="188" w:right="103"/>
        <w:jc w:val="both"/>
      </w:pPr>
      <w:r>
        <w:rPr>
          <w:b/>
        </w:rPr>
        <w:t>КАТО ВЗЕ ПРЕДВИД</w:t>
      </w:r>
      <w:r>
        <w:t xml:space="preserve"> Решението на Съвета от 27 май 1988 г. относно трансграничното движение на опасни отпадъци [C(88)90(Final)], което дефинира „отпадъци“, идентифицира тези отпадъци, посочени като опасни отпадъци в съответните актове на Съвета, и излага система за класификация на отпадъците, подлежащи на трансгранично движение;</w:t>
      </w:r>
    </w:p>
    <w:p w14:paraId="7F650ADC" w14:textId="77777777" w:rsidR="00DE346D" w:rsidRDefault="00DE346D">
      <w:pPr>
        <w:pStyle w:val="BodyText"/>
        <w:spacing w:before="6"/>
        <w:rPr>
          <w:sz w:val="23"/>
        </w:rPr>
      </w:pPr>
    </w:p>
    <w:p w14:paraId="7F650ADD" w14:textId="77777777" w:rsidR="00DE346D" w:rsidRDefault="00A339EF">
      <w:pPr>
        <w:pStyle w:val="BodyText"/>
        <w:spacing w:line="244" w:lineRule="auto"/>
        <w:ind w:left="188" w:right="110"/>
        <w:jc w:val="both"/>
      </w:pPr>
      <w:r>
        <w:rPr>
          <w:b/>
        </w:rPr>
        <w:t>КАТО ВЗЕ ПРЕДВИД</w:t>
      </w:r>
      <w:r>
        <w:t xml:space="preserve"> Резолюцията на Съвета от 18-20 юли 1989 г. относно контрола на трансграничното движение на опасни отпадъци [C(89)112(Final)];</w:t>
      </w:r>
    </w:p>
    <w:p w14:paraId="7F650ADE" w14:textId="77777777" w:rsidR="00DE346D" w:rsidRDefault="00DE346D">
      <w:pPr>
        <w:pStyle w:val="BodyText"/>
        <w:spacing w:before="8"/>
        <w:rPr>
          <w:sz w:val="23"/>
        </w:rPr>
      </w:pPr>
    </w:p>
    <w:p w14:paraId="7F650ADF" w14:textId="77777777" w:rsidR="00DE346D" w:rsidRDefault="00A339EF">
      <w:pPr>
        <w:pStyle w:val="BodyText"/>
        <w:spacing w:line="242" w:lineRule="auto"/>
        <w:ind w:left="188" w:right="107"/>
        <w:jc w:val="both"/>
      </w:pPr>
      <w:r>
        <w:rPr>
          <w:b/>
        </w:rPr>
        <w:t>КАТО ВЗЕ ПРЕДВИД</w:t>
      </w:r>
      <w:r>
        <w:t xml:space="preserve"> Конвенцията за контрол на трансграничното движение на опасни отпадъци и тяхното обезвреждане, приета в Базел на 22 март 1989 г.;</w:t>
      </w:r>
    </w:p>
    <w:p w14:paraId="7F650AE0" w14:textId="77777777" w:rsidR="00DE346D" w:rsidRDefault="00DE346D">
      <w:pPr>
        <w:pStyle w:val="BodyText"/>
        <w:spacing w:before="10"/>
        <w:rPr>
          <w:sz w:val="23"/>
        </w:rPr>
      </w:pPr>
    </w:p>
    <w:p w14:paraId="7F650AE1" w14:textId="77777777" w:rsidR="00DE346D" w:rsidRDefault="00A339EF">
      <w:pPr>
        <w:pStyle w:val="BodyText"/>
        <w:spacing w:line="242" w:lineRule="auto"/>
        <w:ind w:left="188" w:right="106"/>
        <w:jc w:val="both"/>
      </w:pPr>
      <w:r>
        <w:rPr>
          <w:b/>
        </w:rPr>
        <w:t>КАТО ВЗЕ ПРЕДВИД</w:t>
      </w:r>
      <w:r>
        <w:t xml:space="preserve"> Резолюцията на Съвета на министрите на Европейската икономическа общност от 7 май 1990 г. относно политиката за отпадъците;</w:t>
      </w:r>
    </w:p>
    <w:p w14:paraId="7F650AE2" w14:textId="77777777" w:rsidR="00DE346D" w:rsidRDefault="00DE346D">
      <w:pPr>
        <w:pStyle w:val="BodyText"/>
        <w:spacing w:before="11"/>
        <w:rPr>
          <w:sz w:val="23"/>
        </w:rPr>
      </w:pPr>
    </w:p>
    <w:p w14:paraId="7F650AE3" w14:textId="77777777" w:rsidR="00DE346D" w:rsidRDefault="00A339EF">
      <w:pPr>
        <w:pStyle w:val="BodyText"/>
        <w:spacing w:line="242" w:lineRule="auto"/>
        <w:ind w:left="188" w:right="109"/>
        <w:jc w:val="both"/>
      </w:pPr>
      <w:r>
        <w:rPr>
          <w:b/>
        </w:rPr>
        <w:t>КАТО ОТБЕЛЯЗА,</w:t>
      </w:r>
      <w:r>
        <w:t xml:space="preserve"> че всяка страна по Базелската конвенция от 22 март 1989 г. се задължава да „вземе подходящи мерки, за да осигури наличието на подходящи съоръжения за обезвреждане, за екологосъобразно управление на опасни отпадъци и други отпадъци, които трябва да бъдат разположени, доколкото е възможно, в нейните рамки, независимо от мястото на тяхното обезвреждане“;</w:t>
      </w:r>
    </w:p>
    <w:p w14:paraId="7F650AE4" w14:textId="77777777" w:rsidR="00DE346D" w:rsidRDefault="00DE346D">
      <w:pPr>
        <w:pStyle w:val="BodyText"/>
        <w:spacing w:before="6"/>
        <w:rPr>
          <w:sz w:val="23"/>
        </w:rPr>
      </w:pPr>
    </w:p>
    <w:p w14:paraId="7F650AE5" w14:textId="77777777" w:rsidR="00DE346D" w:rsidRDefault="00A339EF">
      <w:pPr>
        <w:pStyle w:val="BodyText"/>
        <w:spacing w:line="242" w:lineRule="auto"/>
        <w:ind w:left="188" w:right="110"/>
        <w:jc w:val="both"/>
      </w:pPr>
      <w:r>
        <w:rPr>
          <w:b/>
        </w:rPr>
        <w:t>КАТО ПРИЗНА</w:t>
      </w:r>
      <w:r>
        <w:t xml:space="preserve"> желателността от подходящо контролирана международна търговия с отпадъчни материали, предназначени за екологосъобразни операции, водещи до оползотворяване на ресурси, рециклиране, възстановяване, директна повторна употреба или алтернативни употреби (наричани по-долу „операции по оползотворяване“);</w:t>
      </w:r>
    </w:p>
    <w:p w14:paraId="7F650AE6" w14:textId="77777777" w:rsidR="00DE346D" w:rsidRDefault="00DE346D">
      <w:pPr>
        <w:pStyle w:val="BodyText"/>
        <w:spacing w:before="8"/>
        <w:rPr>
          <w:sz w:val="23"/>
        </w:rPr>
      </w:pPr>
    </w:p>
    <w:p w14:paraId="7F650AE7" w14:textId="77777777" w:rsidR="00DE346D" w:rsidRDefault="00A339EF">
      <w:pPr>
        <w:pStyle w:val="BodyText"/>
        <w:spacing w:before="1" w:line="244" w:lineRule="auto"/>
        <w:ind w:left="188" w:right="113"/>
        <w:jc w:val="both"/>
      </w:pPr>
      <w:r>
        <w:rPr>
          <w:b/>
        </w:rPr>
        <w:t>КАТО СЕ УБЕДИ</w:t>
      </w:r>
      <w:r>
        <w:t xml:space="preserve"> в необходимостта от намаляване на трансграничното движение на всички отпадъци до минимум в съответствие с екологично разумното и ефективно управление;</w:t>
      </w:r>
    </w:p>
    <w:p w14:paraId="7F650AE8" w14:textId="77777777" w:rsidR="00DE346D" w:rsidRDefault="00DE346D">
      <w:pPr>
        <w:pStyle w:val="BodyText"/>
        <w:spacing w:before="8"/>
        <w:rPr>
          <w:sz w:val="23"/>
        </w:rPr>
      </w:pPr>
    </w:p>
    <w:p w14:paraId="7F650AE9" w14:textId="77777777" w:rsidR="00DE346D" w:rsidRDefault="00A339EF">
      <w:pPr>
        <w:pStyle w:val="BodyText"/>
        <w:spacing w:line="242" w:lineRule="auto"/>
        <w:ind w:left="188" w:right="111"/>
        <w:jc w:val="both"/>
      </w:pPr>
      <w:r>
        <w:rPr>
          <w:b/>
        </w:rPr>
        <w:t>КАТО СЕ УБЕДИ</w:t>
      </w:r>
      <w:r>
        <w:t>, че основните принципи за управление на отпадъците трябва да бъдат, първо, предотвратяване и намаляване, доколкото е възможно, на генерирането на такива отпадъци и, второ, увеличаване на дела на тези отпадъци, които се рециклират или използват повторно;</w:t>
      </w:r>
    </w:p>
    <w:p w14:paraId="7F650AEA" w14:textId="77777777" w:rsidR="00DE346D" w:rsidRDefault="00DE346D">
      <w:pPr>
        <w:pStyle w:val="BodyText"/>
        <w:spacing w:before="8"/>
        <w:rPr>
          <w:sz w:val="23"/>
        </w:rPr>
      </w:pPr>
    </w:p>
    <w:p w14:paraId="7F650AEB" w14:textId="77777777" w:rsidR="00DE346D" w:rsidRDefault="00A339EF">
      <w:pPr>
        <w:pStyle w:val="BodyText"/>
        <w:spacing w:line="242" w:lineRule="auto"/>
        <w:ind w:left="188" w:right="108"/>
        <w:jc w:val="both"/>
      </w:pPr>
      <w:r>
        <w:rPr>
          <w:b/>
        </w:rPr>
        <w:t>КАТО ОТБЕЛЯЗА,</w:t>
      </w:r>
      <w:r>
        <w:t xml:space="preserve"> че много промишлени сектори вече прилагат техники за оползотворяване на отпадъци по икономически и екологично задоволителен начин, и като се убеди, че по-нататъшните усилия в тази посока са необходими и следва да бъдат насърчавани;</w:t>
      </w:r>
    </w:p>
    <w:p w14:paraId="7F650AEC" w14:textId="77777777" w:rsidR="00DE346D" w:rsidRDefault="00DE346D">
      <w:pPr>
        <w:pStyle w:val="BodyText"/>
        <w:spacing w:before="9"/>
        <w:rPr>
          <w:sz w:val="23"/>
        </w:rPr>
      </w:pPr>
    </w:p>
    <w:p w14:paraId="7F650AED" w14:textId="77777777" w:rsidR="00DE346D" w:rsidRDefault="00A339EF">
      <w:pPr>
        <w:pStyle w:val="BodyText"/>
        <w:spacing w:line="242" w:lineRule="auto"/>
        <w:ind w:left="188" w:right="103"/>
        <w:jc w:val="both"/>
      </w:pPr>
      <w:r>
        <w:rPr>
          <w:b/>
        </w:rPr>
        <w:t>КАТО ПРИЗНА,</w:t>
      </w:r>
      <w:r>
        <w:t xml:space="preserve"> че ефикасното и екологосъобразно управление на отпадъците може да оправдае някои трансгранични движения на такива отпадъци, за да се използват подходящи съоръжения за оползотворяване или обезвреждане в други страни;</w:t>
      </w:r>
    </w:p>
    <w:p w14:paraId="7F650AEE" w14:textId="77777777" w:rsidR="00DE346D" w:rsidRDefault="00DE346D">
      <w:pPr>
        <w:spacing w:line="242" w:lineRule="auto"/>
        <w:jc w:val="both"/>
        <w:sectPr w:rsidR="00DE346D">
          <w:pgSz w:w="11910" w:h="16850"/>
          <w:pgMar w:top="1340" w:right="1140" w:bottom="280" w:left="1360" w:header="849" w:footer="0" w:gutter="0"/>
          <w:cols w:space="720"/>
        </w:sectPr>
      </w:pPr>
    </w:p>
    <w:p w14:paraId="7F650AEF" w14:textId="77777777" w:rsidR="00DE346D" w:rsidRDefault="00DE346D">
      <w:pPr>
        <w:pStyle w:val="BodyText"/>
      </w:pPr>
    </w:p>
    <w:p w14:paraId="7F650AF0" w14:textId="77777777" w:rsidR="00DE346D" w:rsidRDefault="00DE346D">
      <w:pPr>
        <w:pStyle w:val="BodyText"/>
        <w:spacing w:before="3"/>
        <w:rPr>
          <w:sz w:val="27"/>
        </w:rPr>
      </w:pPr>
    </w:p>
    <w:p w14:paraId="7F650AF1" w14:textId="77777777" w:rsidR="00DE346D" w:rsidRDefault="00A339EF">
      <w:pPr>
        <w:pStyle w:val="BodyText"/>
        <w:spacing w:before="93" w:line="244" w:lineRule="auto"/>
        <w:ind w:left="188" w:right="109"/>
        <w:jc w:val="both"/>
      </w:pPr>
      <w:r>
        <w:rPr>
          <w:b/>
        </w:rPr>
        <w:t>КАТО ОТБЕЛЯЗА,</w:t>
      </w:r>
      <w:r>
        <w:t xml:space="preserve"> че повечето страни-членки и Европейската икономическа общност са подписали Базелската конвенция от 22 март 1989 г.;</w:t>
      </w:r>
    </w:p>
    <w:p w14:paraId="7F650AF2" w14:textId="77777777" w:rsidR="00DE346D" w:rsidRDefault="00DE346D">
      <w:pPr>
        <w:pStyle w:val="BodyText"/>
        <w:spacing w:before="8"/>
        <w:rPr>
          <w:sz w:val="23"/>
        </w:rPr>
      </w:pPr>
    </w:p>
    <w:p w14:paraId="7F650AF3" w14:textId="77777777" w:rsidR="00DE346D" w:rsidRDefault="00A339EF">
      <w:pPr>
        <w:pStyle w:val="BodyText"/>
        <w:spacing w:line="242" w:lineRule="auto"/>
        <w:ind w:left="188" w:right="110"/>
        <w:jc w:val="both"/>
      </w:pPr>
      <w:r>
        <w:rPr>
          <w:b/>
        </w:rPr>
        <w:t>КАТО СЕ УБЕДИ,</w:t>
      </w:r>
      <w:r>
        <w:t xml:space="preserve"> че международното сътрудничество по отношение на управлението на отпадъците трябва да се основава на споразумения на правителствено ниво;</w:t>
      </w:r>
    </w:p>
    <w:p w14:paraId="7F650AF4" w14:textId="77777777" w:rsidR="00DE346D" w:rsidRDefault="00DE346D">
      <w:pPr>
        <w:pStyle w:val="BodyText"/>
        <w:spacing w:before="10"/>
        <w:rPr>
          <w:sz w:val="23"/>
        </w:rPr>
      </w:pPr>
    </w:p>
    <w:p w14:paraId="7F650AF5" w14:textId="77777777" w:rsidR="00DE346D" w:rsidRDefault="00A339EF">
      <w:pPr>
        <w:pStyle w:val="BodyText"/>
        <w:spacing w:line="242" w:lineRule="auto"/>
        <w:ind w:left="188" w:right="109"/>
        <w:jc w:val="both"/>
      </w:pPr>
      <w:r>
        <w:rPr>
          <w:b/>
        </w:rPr>
        <w:t>КАТО ОТБЕЛЯЗА,</w:t>
      </w:r>
      <w:r>
        <w:t xml:space="preserve"> че някои страни-членки и Европейската икономическа общност вече са предприели действия за предотвратяване на износа на отпадъци, подлежащи на контрол съгласно условията на Базелската конвенция от 22 март 1989 г., към развиващите се страни;</w:t>
      </w:r>
    </w:p>
    <w:p w14:paraId="7F650AF6" w14:textId="77777777" w:rsidR="00DE346D" w:rsidRDefault="00DE346D">
      <w:pPr>
        <w:pStyle w:val="BodyText"/>
        <w:spacing w:before="8"/>
        <w:rPr>
          <w:sz w:val="23"/>
        </w:rPr>
      </w:pPr>
    </w:p>
    <w:p w14:paraId="7F650AF7" w14:textId="77777777" w:rsidR="00DE346D" w:rsidRDefault="00A339EF">
      <w:pPr>
        <w:pStyle w:val="Heading3"/>
        <w:spacing w:before="1"/>
      </w:pPr>
      <w:r>
        <w:t>По предложение на Комитета по околната среда:</w:t>
      </w:r>
    </w:p>
    <w:p w14:paraId="7F650AF8" w14:textId="77777777" w:rsidR="00DE346D" w:rsidRDefault="00DE346D">
      <w:pPr>
        <w:pStyle w:val="BodyText"/>
        <w:spacing w:before="5"/>
        <w:rPr>
          <w:b/>
          <w:sz w:val="24"/>
        </w:rPr>
      </w:pPr>
    </w:p>
    <w:p w14:paraId="7F650AF9" w14:textId="77777777" w:rsidR="00DE346D" w:rsidRDefault="00A339EF">
      <w:pPr>
        <w:pStyle w:val="ListParagraph"/>
        <w:numPr>
          <w:ilvl w:val="0"/>
          <w:numId w:val="4"/>
        </w:numPr>
        <w:tabs>
          <w:tab w:val="left" w:pos="681"/>
        </w:tabs>
        <w:ind w:right="0" w:hanging="493"/>
        <w:jc w:val="both"/>
        <w:rPr>
          <w:sz w:val="20"/>
        </w:rPr>
      </w:pPr>
      <w:r>
        <w:rPr>
          <w:b/>
          <w:sz w:val="20"/>
        </w:rPr>
        <w:t xml:space="preserve">РЕШАВА, </w:t>
      </w:r>
      <w:r>
        <w:rPr>
          <w:sz w:val="20"/>
        </w:rPr>
        <w:t>за да да не се подлагат на операции по оползотворяване отпадъците, страните-членки:</w:t>
      </w:r>
    </w:p>
    <w:p w14:paraId="7F650AFA" w14:textId="77777777" w:rsidR="00DE346D" w:rsidRDefault="00DE346D">
      <w:pPr>
        <w:pStyle w:val="BodyText"/>
        <w:spacing w:before="5"/>
        <w:rPr>
          <w:sz w:val="24"/>
        </w:rPr>
      </w:pPr>
    </w:p>
    <w:p w14:paraId="7F650AFB" w14:textId="77777777" w:rsidR="00DE346D" w:rsidRDefault="00A339EF">
      <w:pPr>
        <w:pStyle w:val="ListParagraph"/>
        <w:numPr>
          <w:ilvl w:val="0"/>
          <w:numId w:val="3"/>
        </w:numPr>
        <w:tabs>
          <w:tab w:val="left" w:pos="683"/>
        </w:tabs>
        <w:spacing w:before="1" w:line="242" w:lineRule="auto"/>
        <w:ind w:right="113"/>
        <w:jc w:val="both"/>
        <w:rPr>
          <w:sz w:val="20"/>
        </w:rPr>
      </w:pPr>
      <w:r>
        <w:rPr>
          <w:sz w:val="20"/>
        </w:rPr>
        <w:t>В съответствие с екологосъобразните и ефективни практики за управление, доколкото е възможно, да изхвърлят на собствената си територия отпадъците, произведени там;</w:t>
      </w:r>
    </w:p>
    <w:p w14:paraId="7F650AFC" w14:textId="77777777" w:rsidR="00DE346D" w:rsidRDefault="00A339EF">
      <w:pPr>
        <w:pStyle w:val="ListParagraph"/>
        <w:numPr>
          <w:ilvl w:val="0"/>
          <w:numId w:val="3"/>
        </w:numPr>
        <w:tabs>
          <w:tab w:val="left" w:pos="683"/>
        </w:tabs>
        <w:spacing w:before="116"/>
        <w:ind w:right="98"/>
        <w:jc w:val="both"/>
        <w:rPr>
          <w:sz w:val="20"/>
        </w:rPr>
      </w:pPr>
      <w:r>
        <w:rPr>
          <w:sz w:val="20"/>
        </w:rPr>
        <w:t>Да предприемат действия за намаляване на трансграничните им движения до минимума, оправдан от екологосъобразно и ефективно управление;</w:t>
      </w:r>
    </w:p>
    <w:p w14:paraId="7F650AFD" w14:textId="77777777" w:rsidR="00DE346D" w:rsidRDefault="00A339EF">
      <w:pPr>
        <w:pStyle w:val="ListParagraph"/>
        <w:numPr>
          <w:ilvl w:val="0"/>
          <w:numId w:val="3"/>
        </w:numPr>
        <w:tabs>
          <w:tab w:val="left" w:pos="683"/>
        </w:tabs>
        <w:spacing w:before="121"/>
        <w:ind w:right="105"/>
        <w:jc w:val="both"/>
        <w:rPr>
          <w:sz w:val="20"/>
        </w:rPr>
      </w:pPr>
      <w:r>
        <w:rPr>
          <w:sz w:val="20"/>
        </w:rPr>
        <w:t>Постоянно да идентифицират онези отпадъци, които не могат да бъдат управлявани по екологосъобразен начин на тяхната територия. Да насърчават създаването на допълнителна и подходяща инфраструктура за управление на отпадъците, така че тези отпадъци да могат да се управляват в рамките на тяхната собствена територия и ако такава инфраструктура не може да бъде създадена, да си сътрудничат чрез двустранни или регионални планове, съгласувани на правителствено ниво, предназначени да осигурят екологосъобразно управление на отпадъците.</w:t>
      </w:r>
    </w:p>
    <w:p w14:paraId="7F650AFE" w14:textId="77777777" w:rsidR="00DE346D" w:rsidRDefault="00DE346D">
      <w:pPr>
        <w:pStyle w:val="BodyText"/>
        <w:rPr>
          <w:sz w:val="24"/>
        </w:rPr>
      </w:pPr>
    </w:p>
    <w:p w14:paraId="7F650AFF" w14:textId="77777777" w:rsidR="00DE346D" w:rsidRDefault="00A339EF">
      <w:pPr>
        <w:pStyle w:val="ListParagraph"/>
        <w:numPr>
          <w:ilvl w:val="0"/>
          <w:numId w:val="4"/>
        </w:numPr>
        <w:tabs>
          <w:tab w:val="left" w:pos="681"/>
        </w:tabs>
        <w:spacing w:line="242" w:lineRule="auto"/>
        <w:ind w:left="188" w:firstLine="0"/>
        <w:jc w:val="both"/>
        <w:rPr>
          <w:sz w:val="20"/>
        </w:rPr>
      </w:pPr>
      <w:r>
        <w:rPr>
          <w:b/>
          <w:sz w:val="20"/>
        </w:rPr>
        <w:t>РЕШАВА</w:t>
      </w:r>
      <w:r>
        <w:rPr>
          <w:sz w:val="20"/>
        </w:rPr>
        <w:t xml:space="preserve"> страните-членки да си сътрудничат при събирането на хармонизирани данни за вноса и износа на отпадъци и да направят тези данни публично достъпни в съответствие с техните национални закони относно поверителността на бизнес информацията.</w:t>
      </w:r>
    </w:p>
    <w:p w14:paraId="7F650B00" w14:textId="77777777" w:rsidR="00DE346D" w:rsidRDefault="00DE346D">
      <w:pPr>
        <w:pStyle w:val="BodyText"/>
        <w:spacing w:before="8"/>
        <w:rPr>
          <w:sz w:val="23"/>
        </w:rPr>
      </w:pPr>
    </w:p>
    <w:p w14:paraId="7F650B01" w14:textId="77777777" w:rsidR="00DE346D" w:rsidRDefault="00A339EF">
      <w:pPr>
        <w:pStyle w:val="ListParagraph"/>
        <w:numPr>
          <w:ilvl w:val="0"/>
          <w:numId w:val="4"/>
        </w:numPr>
        <w:tabs>
          <w:tab w:val="left" w:pos="681"/>
        </w:tabs>
        <w:spacing w:before="1" w:line="242" w:lineRule="auto"/>
        <w:ind w:left="188" w:right="111" w:firstLine="0"/>
        <w:jc w:val="both"/>
        <w:rPr>
          <w:sz w:val="20"/>
        </w:rPr>
      </w:pPr>
      <w:r>
        <w:rPr>
          <w:b/>
          <w:sz w:val="20"/>
        </w:rPr>
        <w:t>ПРЕПОРЪЧВА</w:t>
      </w:r>
      <w:r>
        <w:rPr>
          <w:sz w:val="20"/>
        </w:rPr>
        <w:t xml:space="preserve"> страните-членки да си сътрудничат при разработването и прилагането на насоките относно намаляването на трансграничното движение на отпадъци, посочени в приложението към настоящото решение-препоръка, и при събирането на необходимите данни.</w:t>
      </w:r>
    </w:p>
    <w:p w14:paraId="7F650B02" w14:textId="77777777" w:rsidR="00DE346D" w:rsidRDefault="00DE346D">
      <w:pPr>
        <w:pStyle w:val="BodyText"/>
        <w:spacing w:before="8"/>
        <w:rPr>
          <w:sz w:val="23"/>
        </w:rPr>
      </w:pPr>
    </w:p>
    <w:p w14:paraId="7F650B03" w14:textId="77777777" w:rsidR="00DE346D" w:rsidRDefault="00A339EF">
      <w:pPr>
        <w:pStyle w:val="ListParagraph"/>
        <w:numPr>
          <w:ilvl w:val="0"/>
          <w:numId w:val="4"/>
        </w:numPr>
        <w:tabs>
          <w:tab w:val="left" w:pos="681"/>
        </w:tabs>
        <w:spacing w:line="244" w:lineRule="auto"/>
        <w:ind w:left="188" w:right="104" w:firstLine="0"/>
        <w:jc w:val="both"/>
        <w:rPr>
          <w:sz w:val="20"/>
        </w:rPr>
      </w:pPr>
      <w:r>
        <w:rPr>
          <w:b/>
          <w:sz w:val="20"/>
        </w:rPr>
        <w:t>ПРЕПОРЪЧВА</w:t>
      </w:r>
      <w:r>
        <w:rPr>
          <w:sz w:val="20"/>
        </w:rPr>
        <w:t xml:space="preserve"> първоначалните планове, посочени в параграф I в) от настоящото решение-препоръка, да бъдат завършени в значителна степен преди 1 януари 1995 г.</w:t>
      </w:r>
    </w:p>
    <w:p w14:paraId="7F650B04" w14:textId="77777777" w:rsidR="00DE346D" w:rsidRDefault="00DE346D">
      <w:pPr>
        <w:pStyle w:val="BodyText"/>
        <w:spacing w:before="8"/>
        <w:rPr>
          <w:sz w:val="23"/>
        </w:rPr>
      </w:pPr>
    </w:p>
    <w:p w14:paraId="7F650B05" w14:textId="77777777" w:rsidR="00DE346D" w:rsidRDefault="00A339EF">
      <w:pPr>
        <w:pStyle w:val="ListParagraph"/>
        <w:numPr>
          <w:ilvl w:val="0"/>
          <w:numId w:val="4"/>
        </w:numPr>
        <w:tabs>
          <w:tab w:val="left" w:pos="681"/>
        </w:tabs>
        <w:spacing w:line="242" w:lineRule="auto"/>
        <w:ind w:left="188" w:right="111" w:firstLine="0"/>
        <w:jc w:val="both"/>
        <w:rPr>
          <w:sz w:val="20"/>
        </w:rPr>
      </w:pPr>
      <w:r>
        <w:rPr>
          <w:b/>
          <w:sz w:val="20"/>
        </w:rPr>
        <w:t>УКАЗВА</w:t>
      </w:r>
      <w:r>
        <w:rPr>
          <w:sz w:val="20"/>
        </w:rPr>
        <w:t xml:space="preserve"> на Комитета по околната среда да обмисли по-нататъшно хармонизиране на списъците на отпадъците на страните-членки, чието трансгранично движение подлежи на контрол.</w:t>
      </w:r>
    </w:p>
    <w:p w14:paraId="7F650B06" w14:textId="77777777" w:rsidR="00DE346D" w:rsidRDefault="00DE346D">
      <w:pPr>
        <w:pStyle w:val="BodyText"/>
        <w:spacing w:before="10"/>
        <w:rPr>
          <w:sz w:val="23"/>
        </w:rPr>
      </w:pPr>
    </w:p>
    <w:p w14:paraId="7F650B07" w14:textId="77777777" w:rsidR="00DE346D" w:rsidRDefault="00A339EF">
      <w:pPr>
        <w:pStyle w:val="ListParagraph"/>
        <w:numPr>
          <w:ilvl w:val="0"/>
          <w:numId w:val="4"/>
        </w:numPr>
        <w:tabs>
          <w:tab w:val="left" w:pos="681"/>
        </w:tabs>
        <w:spacing w:before="1"/>
        <w:ind w:left="188" w:right="106" w:firstLine="0"/>
        <w:jc w:val="both"/>
        <w:rPr>
          <w:sz w:val="20"/>
        </w:rPr>
      </w:pPr>
      <w:r>
        <w:rPr>
          <w:b/>
          <w:bCs/>
          <w:sz w:val="20"/>
        </w:rPr>
        <w:t>УКАЗВА</w:t>
      </w:r>
      <w:r>
        <w:rPr>
          <w:sz w:val="20"/>
        </w:rPr>
        <w:t xml:space="preserve"> на Комитета по околната среда, в сътрудничество с други съответни органи на ОИСР, по-специално с Комитета по търговията и Групата на високо ниво по стоки, да разработят и приложат програма от дейности по отношение на отпадъците, предназначени за операции по оползотворяване. Тази програма, която отчита работата на и ще се провежда в сътрудничество с други международни организации и органи, по-специално Програмата на ООН за околната среда, Икономическата комисия на ООН за Европа и Комисията на Европейските общности, трябва по-специално:</w:t>
      </w:r>
    </w:p>
    <w:p w14:paraId="7F650B08" w14:textId="77777777" w:rsidR="00DE346D" w:rsidRDefault="00DE346D">
      <w:pPr>
        <w:pStyle w:val="BodyText"/>
        <w:spacing w:before="7"/>
        <w:rPr>
          <w:sz w:val="24"/>
        </w:rPr>
      </w:pPr>
    </w:p>
    <w:p w14:paraId="7F650B09" w14:textId="77777777" w:rsidR="00DE346D" w:rsidRDefault="00A339EF">
      <w:pPr>
        <w:pStyle w:val="ListParagraph"/>
        <w:numPr>
          <w:ilvl w:val="0"/>
          <w:numId w:val="2"/>
        </w:numPr>
        <w:tabs>
          <w:tab w:val="left" w:pos="683"/>
        </w:tabs>
        <w:ind w:right="114"/>
        <w:jc w:val="both"/>
        <w:rPr>
          <w:sz w:val="20"/>
        </w:rPr>
      </w:pPr>
      <w:r>
        <w:rPr>
          <w:sz w:val="20"/>
        </w:rPr>
        <w:t>Да изясни определението за отпадъци и характеризира онези отпадъци, които може да изискват различни нива на контрол;</w:t>
      </w:r>
    </w:p>
    <w:p w14:paraId="7F650B0A" w14:textId="77777777" w:rsidR="00DE346D" w:rsidRDefault="00A339EF">
      <w:pPr>
        <w:pStyle w:val="ListParagraph"/>
        <w:numPr>
          <w:ilvl w:val="0"/>
          <w:numId w:val="2"/>
        </w:numPr>
        <w:tabs>
          <w:tab w:val="left" w:pos="683"/>
        </w:tabs>
        <w:spacing w:before="121"/>
        <w:jc w:val="both"/>
        <w:rPr>
          <w:sz w:val="20"/>
        </w:rPr>
      </w:pPr>
      <w:r>
        <w:rPr>
          <w:sz w:val="20"/>
        </w:rPr>
        <w:t>Да идентифицира и оцени екологосъобразни и икономически ефективни практики за операции по оползотворяване;</w:t>
      </w:r>
    </w:p>
    <w:p w14:paraId="7F650B0B" w14:textId="77777777" w:rsidR="00DE346D" w:rsidRDefault="00A339EF">
      <w:pPr>
        <w:pStyle w:val="ListParagraph"/>
        <w:numPr>
          <w:ilvl w:val="0"/>
          <w:numId w:val="2"/>
        </w:numPr>
        <w:tabs>
          <w:tab w:val="left" w:pos="683"/>
        </w:tabs>
        <w:spacing w:before="118"/>
        <w:ind w:right="116"/>
        <w:jc w:val="both"/>
        <w:rPr>
          <w:sz w:val="20"/>
        </w:rPr>
      </w:pPr>
      <w:r>
        <w:rPr>
          <w:sz w:val="20"/>
        </w:rPr>
        <w:t>Да разработи средства за подходящо определяне на количествата отпадъци, подложени на операции по оползотворяване, в сравнение с окончателно депонираните;</w:t>
      </w:r>
    </w:p>
    <w:p w14:paraId="7F650B0C" w14:textId="77777777" w:rsidR="00DE346D" w:rsidRDefault="00DE346D">
      <w:pPr>
        <w:jc w:val="both"/>
        <w:rPr>
          <w:sz w:val="20"/>
        </w:rPr>
        <w:sectPr w:rsidR="00DE346D">
          <w:pgSz w:w="11910" w:h="16850"/>
          <w:pgMar w:top="1340" w:right="1140" w:bottom="280" w:left="1360" w:header="849" w:footer="0" w:gutter="0"/>
          <w:cols w:space="720"/>
        </w:sectPr>
      </w:pPr>
    </w:p>
    <w:p w14:paraId="7F650B0D" w14:textId="77777777" w:rsidR="00DE346D" w:rsidRDefault="00DE346D">
      <w:pPr>
        <w:pStyle w:val="BodyText"/>
      </w:pPr>
    </w:p>
    <w:p w14:paraId="7F650B0E" w14:textId="77777777" w:rsidR="00DE346D" w:rsidRDefault="00DE346D">
      <w:pPr>
        <w:pStyle w:val="BodyText"/>
        <w:spacing w:before="8"/>
        <w:rPr>
          <w:sz w:val="27"/>
        </w:rPr>
      </w:pPr>
    </w:p>
    <w:p w14:paraId="7F650B0F" w14:textId="77777777" w:rsidR="00DE346D" w:rsidRDefault="00A339EF">
      <w:pPr>
        <w:pStyle w:val="ListParagraph"/>
        <w:numPr>
          <w:ilvl w:val="0"/>
          <w:numId w:val="2"/>
        </w:numPr>
        <w:tabs>
          <w:tab w:val="left" w:pos="683"/>
        </w:tabs>
        <w:spacing w:before="93"/>
        <w:ind w:right="109"/>
        <w:jc w:val="both"/>
        <w:rPr>
          <w:sz w:val="20"/>
        </w:rPr>
      </w:pPr>
      <w:r>
        <w:rPr>
          <w:sz w:val="20"/>
        </w:rPr>
        <w:t>Да установи текущата и потенциална роля на употребите на отпадъците за заместване на първични суровини и за опазване на природните ресурси;</w:t>
      </w:r>
    </w:p>
    <w:p w14:paraId="7F650B10" w14:textId="77777777" w:rsidR="00DE346D" w:rsidRDefault="00A339EF">
      <w:pPr>
        <w:pStyle w:val="ListParagraph"/>
        <w:numPr>
          <w:ilvl w:val="0"/>
          <w:numId w:val="2"/>
        </w:numPr>
        <w:tabs>
          <w:tab w:val="left" w:pos="683"/>
        </w:tabs>
        <w:spacing w:before="121"/>
        <w:ind w:right="113"/>
        <w:jc w:val="both"/>
        <w:rPr>
          <w:sz w:val="20"/>
        </w:rPr>
      </w:pPr>
      <w:r>
        <w:rPr>
          <w:sz w:val="20"/>
        </w:rPr>
        <w:t>Да очертае такъв контрол, който може да е подходящ за трансграничното движение на отпадъчни материали, предназначени за операции по оползотворяване;</w:t>
      </w:r>
    </w:p>
    <w:p w14:paraId="7F650B11" w14:textId="77777777" w:rsidR="00DE346D" w:rsidRDefault="00A339EF">
      <w:pPr>
        <w:pStyle w:val="ListParagraph"/>
        <w:numPr>
          <w:ilvl w:val="0"/>
          <w:numId w:val="2"/>
        </w:numPr>
        <w:tabs>
          <w:tab w:val="left" w:pos="683"/>
        </w:tabs>
        <w:spacing w:before="118"/>
        <w:ind w:right="113"/>
        <w:jc w:val="both"/>
        <w:rPr>
          <w:sz w:val="20"/>
        </w:rPr>
      </w:pPr>
      <w:r>
        <w:rPr>
          <w:sz w:val="20"/>
        </w:rPr>
        <w:t>След оценка на резултатите от елементи от а) до д), ако е уместно, да разработи основата на многостранно споразумение съгласно член 11 от Базелската конвенция от 22 март 1989 г., което ще урежда трансграничното движение на тези отпадъци изключително между страните-членки.</w:t>
      </w:r>
    </w:p>
    <w:p w14:paraId="7F650B12" w14:textId="77777777" w:rsidR="00DE346D" w:rsidRDefault="00DE346D">
      <w:pPr>
        <w:pStyle w:val="BodyText"/>
        <w:spacing w:before="1"/>
        <w:rPr>
          <w:sz w:val="24"/>
        </w:rPr>
      </w:pPr>
    </w:p>
    <w:p w14:paraId="7F650B13" w14:textId="77777777" w:rsidR="00DE346D" w:rsidRDefault="00A339EF">
      <w:pPr>
        <w:pStyle w:val="ListParagraph"/>
        <w:numPr>
          <w:ilvl w:val="0"/>
          <w:numId w:val="4"/>
        </w:numPr>
        <w:tabs>
          <w:tab w:val="left" w:pos="681"/>
        </w:tabs>
        <w:spacing w:before="1" w:line="242" w:lineRule="auto"/>
        <w:ind w:left="188" w:right="109" w:firstLine="0"/>
        <w:jc w:val="both"/>
        <w:rPr>
          <w:sz w:val="20"/>
        </w:rPr>
      </w:pPr>
      <w:r>
        <w:rPr>
          <w:b/>
          <w:sz w:val="20"/>
        </w:rPr>
        <w:t>УКАЗВА</w:t>
      </w:r>
      <w:r>
        <w:rPr>
          <w:sz w:val="20"/>
        </w:rPr>
        <w:t xml:space="preserve"> на Комитета по околната среда и други съответни комитети на ОИСР да преразглеждат периодично действията, предприети от страните-членки в изпълнение на настоящото решение-препоръка.</w:t>
      </w:r>
    </w:p>
    <w:p w14:paraId="7F650B14" w14:textId="77777777" w:rsidR="00DE346D" w:rsidRDefault="00DE346D">
      <w:pPr>
        <w:pStyle w:val="BodyText"/>
        <w:rPr>
          <w:sz w:val="24"/>
        </w:rPr>
      </w:pPr>
    </w:p>
    <w:p w14:paraId="7F650B15" w14:textId="77777777" w:rsidR="00DE346D" w:rsidRDefault="00A339EF">
      <w:pPr>
        <w:pStyle w:val="BodyText"/>
        <w:spacing w:before="1"/>
        <w:ind w:left="434" w:right="356"/>
        <w:jc w:val="center"/>
      </w:pPr>
      <w:r>
        <w:t>ПРИЛОЖЕНИЕ</w:t>
      </w:r>
    </w:p>
    <w:p w14:paraId="7F650B16" w14:textId="77777777" w:rsidR="00DE346D" w:rsidRDefault="00DE346D">
      <w:pPr>
        <w:pStyle w:val="BodyText"/>
        <w:spacing w:before="3"/>
        <w:rPr>
          <w:sz w:val="24"/>
        </w:rPr>
      </w:pPr>
    </w:p>
    <w:p w14:paraId="7F650B17" w14:textId="77777777" w:rsidR="00DE346D" w:rsidRDefault="00A339EF">
      <w:pPr>
        <w:pStyle w:val="Heading3"/>
        <w:ind w:left="436" w:right="356"/>
        <w:jc w:val="center"/>
      </w:pPr>
      <w:r>
        <w:t>НАСОКИ ОТНОСНО НАМАЛЯВАНЕТО НА ТРАНСГРАНИЧНОТО ДВИЖЕНИЕ НА ОТПАДЪЦИ</w:t>
      </w:r>
    </w:p>
    <w:p w14:paraId="7F650B18" w14:textId="77777777" w:rsidR="00DE346D" w:rsidRDefault="00DE346D">
      <w:pPr>
        <w:pStyle w:val="BodyText"/>
        <w:spacing w:before="5"/>
        <w:rPr>
          <w:b/>
          <w:sz w:val="24"/>
        </w:rPr>
      </w:pPr>
    </w:p>
    <w:p w14:paraId="7F650B19" w14:textId="77777777" w:rsidR="00DE346D" w:rsidRDefault="00A339EF">
      <w:pPr>
        <w:pStyle w:val="BodyText"/>
        <w:spacing w:line="242" w:lineRule="auto"/>
        <w:ind w:left="188"/>
      </w:pPr>
      <w:r>
        <w:t>Следните насоки са предназначени да помогнат при разработването на хармонизирани политики относно намаляването на трансграничното движение на отпадъци.</w:t>
      </w:r>
    </w:p>
    <w:p w14:paraId="7F650B1A" w14:textId="77777777" w:rsidR="00DE346D" w:rsidRDefault="00DE346D">
      <w:pPr>
        <w:pStyle w:val="BodyText"/>
        <w:spacing w:before="10"/>
        <w:rPr>
          <w:sz w:val="23"/>
        </w:rPr>
      </w:pPr>
    </w:p>
    <w:p w14:paraId="7F650B1B" w14:textId="77777777" w:rsidR="00DE346D" w:rsidRDefault="00A339EF">
      <w:pPr>
        <w:pStyle w:val="ListParagraph"/>
        <w:numPr>
          <w:ilvl w:val="1"/>
          <w:numId w:val="4"/>
        </w:numPr>
        <w:tabs>
          <w:tab w:val="left" w:pos="681"/>
        </w:tabs>
        <w:spacing w:line="242" w:lineRule="auto"/>
        <w:ind w:right="114" w:firstLine="0"/>
        <w:jc w:val="both"/>
        <w:rPr>
          <w:sz w:val="20"/>
        </w:rPr>
      </w:pPr>
      <w:r>
        <w:rPr>
          <w:sz w:val="20"/>
        </w:rPr>
        <w:t>Страните следва да определят количествата генерирани отпадъци по видове, напр. отпадъците, изброени в приложенията към Базелската конвенция от 22 март 1989 г., и да разработят съвместима методология за отчитане на данните:</w:t>
      </w:r>
    </w:p>
    <w:p w14:paraId="7F650B1C" w14:textId="77777777" w:rsidR="00DE346D" w:rsidRDefault="00DE346D">
      <w:pPr>
        <w:pStyle w:val="BodyText"/>
        <w:spacing w:before="11"/>
        <w:rPr>
          <w:sz w:val="23"/>
        </w:rPr>
      </w:pPr>
    </w:p>
    <w:p w14:paraId="7F650B1D" w14:textId="77777777" w:rsidR="00DE346D" w:rsidRDefault="00A339EF">
      <w:pPr>
        <w:pStyle w:val="ListParagraph"/>
        <w:numPr>
          <w:ilvl w:val="1"/>
          <w:numId w:val="4"/>
        </w:numPr>
        <w:tabs>
          <w:tab w:val="left" w:pos="681"/>
        </w:tabs>
        <w:ind w:right="118" w:firstLine="0"/>
        <w:jc w:val="both"/>
        <w:rPr>
          <w:sz w:val="20"/>
        </w:rPr>
      </w:pPr>
      <w:r>
        <w:rPr>
          <w:sz w:val="20"/>
        </w:rPr>
        <w:t>Страните следва периодично да събират и предоставят данни относно генерирането на отпадъци в рамките на тяхната юрисдикция:</w:t>
      </w:r>
    </w:p>
    <w:p w14:paraId="7F650B1E" w14:textId="77777777" w:rsidR="00DE346D" w:rsidRDefault="00DE346D">
      <w:pPr>
        <w:pStyle w:val="BodyText"/>
        <w:spacing w:before="4"/>
        <w:rPr>
          <w:sz w:val="24"/>
        </w:rPr>
      </w:pPr>
    </w:p>
    <w:p w14:paraId="7F650B1F" w14:textId="77777777" w:rsidR="00DE346D" w:rsidRDefault="00A339EF">
      <w:pPr>
        <w:pStyle w:val="ListParagraph"/>
        <w:numPr>
          <w:ilvl w:val="1"/>
          <w:numId w:val="4"/>
        </w:numPr>
        <w:tabs>
          <w:tab w:val="left" w:pos="681"/>
        </w:tabs>
        <w:ind w:right="112" w:firstLine="0"/>
        <w:jc w:val="both"/>
        <w:rPr>
          <w:sz w:val="20"/>
        </w:rPr>
      </w:pPr>
      <w:r>
        <w:rPr>
          <w:sz w:val="20"/>
        </w:rPr>
        <w:t>Страните следва да предприемат стъпки за намаляване до възможно най-голяма степен на генерирането на отпадъци, по-специално чрез насърчаване на чисти технологии и чисти продукти и да насърчават рециклирането, възстановяването, оползотворяването на ресурсите, директната повторна употреба или алтернативни употреби за всякакви генерирани отпадъци:</w:t>
      </w:r>
    </w:p>
    <w:p w14:paraId="7F650B20" w14:textId="77777777" w:rsidR="00DE346D" w:rsidRDefault="00DE346D">
      <w:pPr>
        <w:pStyle w:val="BodyText"/>
        <w:spacing w:before="3"/>
        <w:rPr>
          <w:sz w:val="24"/>
        </w:rPr>
      </w:pPr>
    </w:p>
    <w:p w14:paraId="7F650B21" w14:textId="77777777" w:rsidR="00DE346D" w:rsidRDefault="00A339EF">
      <w:pPr>
        <w:pStyle w:val="ListParagraph"/>
        <w:numPr>
          <w:ilvl w:val="1"/>
          <w:numId w:val="4"/>
        </w:numPr>
        <w:tabs>
          <w:tab w:val="left" w:pos="681"/>
        </w:tabs>
        <w:spacing w:line="242" w:lineRule="auto"/>
        <w:ind w:right="111" w:firstLine="0"/>
        <w:jc w:val="both"/>
        <w:rPr>
          <w:sz w:val="20"/>
        </w:rPr>
      </w:pPr>
      <w:r>
        <w:rPr>
          <w:sz w:val="20"/>
        </w:rPr>
        <w:t>Страните следва да предприемат стъпки за определяне на капацитета, необходим за екологосъобразно третиране и обезвреждане на тези отпадъци, генерирани в рамките на тяхната юрисдикция:</w:t>
      </w:r>
    </w:p>
    <w:p w14:paraId="7F650B22" w14:textId="77777777" w:rsidR="00DE346D" w:rsidRDefault="00DE346D">
      <w:pPr>
        <w:pStyle w:val="BodyText"/>
        <w:spacing w:before="10"/>
        <w:rPr>
          <w:sz w:val="23"/>
        </w:rPr>
      </w:pPr>
    </w:p>
    <w:p w14:paraId="7F650B23" w14:textId="77777777" w:rsidR="00DE346D" w:rsidRDefault="00A339EF">
      <w:pPr>
        <w:pStyle w:val="ListParagraph"/>
        <w:numPr>
          <w:ilvl w:val="1"/>
          <w:numId w:val="4"/>
        </w:numPr>
        <w:tabs>
          <w:tab w:val="left" w:pos="681"/>
        </w:tabs>
        <w:spacing w:before="1" w:line="242" w:lineRule="auto"/>
        <w:ind w:right="99" w:firstLine="0"/>
        <w:jc w:val="both"/>
        <w:rPr>
          <w:sz w:val="20"/>
        </w:rPr>
      </w:pPr>
      <w:r>
        <w:rPr>
          <w:sz w:val="20"/>
        </w:rPr>
        <w:t>Страните следва да предприемат всички практически стъпки, за да гарантират, че в рамките на тяхната юрисдикция е наличен адекватен капацитет за екологосъобразно третиране и обезвреждане на отпадъци:</w:t>
      </w:r>
    </w:p>
    <w:p w14:paraId="7F650B24" w14:textId="77777777" w:rsidR="00DE346D" w:rsidRDefault="00DE346D">
      <w:pPr>
        <w:pStyle w:val="BodyText"/>
        <w:spacing w:before="1"/>
        <w:rPr>
          <w:sz w:val="24"/>
        </w:rPr>
      </w:pPr>
    </w:p>
    <w:p w14:paraId="7F650B25" w14:textId="77777777" w:rsidR="00DE346D" w:rsidRDefault="00A339EF">
      <w:pPr>
        <w:pStyle w:val="ListParagraph"/>
        <w:numPr>
          <w:ilvl w:val="1"/>
          <w:numId w:val="4"/>
        </w:numPr>
        <w:tabs>
          <w:tab w:val="left" w:pos="681"/>
        </w:tabs>
        <w:ind w:right="106" w:firstLine="0"/>
        <w:jc w:val="both"/>
        <w:rPr>
          <w:sz w:val="20"/>
        </w:rPr>
      </w:pPr>
      <w:r>
        <w:rPr>
          <w:sz w:val="20"/>
        </w:rPr>
        <w:t>За отпадъци, които са подложени на трансгранични движения, например тези, които трябва да бъдат докладвани съгласно Резолюция C(89)112 (окончателна), страните следва да си сътрудничат за по-нататъшно хармонизиране на системите за уведомяване и процедурите за контрол на такива движения:</w:t>
      </w:r>
    </w:p>
    <w:p w14:paraId="7F650B26" w14:textId="77777777" w:rsidR="00DE346D" w:rsidRDefault="00DE346D">
      <w:pPr>
        <w:pStyle w:val="BodyText"/>
        <w:spacing w:before="4"/>
        <w:rPr>
          <w:sz w:val="24"/>
        </w:rPr>
      </w:pPr>
    </w:p>
    <w:p w14:paraId="7F650B27" w14:textId="77777777" w:rsidR="00DE346D" w:rsidRDefault="00A339EF">
      <w:pPr>
        <w:pStyle w:val="ListParagraph"/>
        <w:numPr>
          <w:ilvl w:val="1"/>
          <w:numId w:val="4"/>
        </w:numPr>
        <w:tabs>
          <w:tab w:val="left" w:pos="681"/>
        </w:tabs>
        <w:ind w:right="108" w:firstLine="0"/>
        <w:jc w:val="both"/>
        <w:rPr>
          <w:sz w:val="20"/>
        </w:rPr>
      </w:pPr>
      <w:r>
        <w:rPr>
          <w:sz w:val="20"/>
        </w:rPr>
        <w:t>Страните, чрез своята координация в програмата, посочена в параграф VI от настоящото решение-препоръка, следва да очертаят подходящи контролни процедури за управление на трансграничното движение на отпадъци, които са предназначени за операции по оползотворяване, за да се насърчават тези дейности, като същевременно се гарантира, че човешкото здраве и околната среда са защитени:</w:t>
      </w:r>
    </w:p>
    <w:p w14:paraId="7F650B28" w14:textId="77777777" w:rsidR="00DE346D" w:rsidRDefault="00DE346D">
      <w:pPr>
        <w:pStyle w:val="BodyText"/>
        <w:spacing w:before="4"/>
        <w:rPr>
          <w:sz w:val="24"/>
        </w:rPr>
      </w:pPr>
    </w:p>
    <w:p w14:paraId="7F650B29" w14:textId="77777777" w:rsidR="00DE346D" w:rsidRDefault="00A339EF">
      <w:pPr>
        <w:pStyle w:val="ListParagraph"/>
        <w:numPr>
          <w:ilvl w:val="1"/>
          <w:numId w:val="4"/>
        </w:numPr>
        <w:tabs>
          <w:tab w:val="left" w:pos="681"/>
        </w:tabs>
        <w:ind w:right="104" w:firstLine="0"/>
        <w:jc w:val="both"/>
        <w:rPr>
          <w:sz w:val="20"/>
        </w:rPr>
      </w:pPr>
      <w:r>
        <w:rPr>
          <w:sz w:val="20"/>
        </w:rPr>
        <w:t>Когато липсва подходяща инфраструктура за управление на отпадъците или когато обективни оценки, включващи всички заинтересовани страни, предполагат, че управлението на определени отпадъци в страната, в която са генерирани, не е оправдано, страните следва, в съответствие с параграф I в) от настоящото решение-препоръка, да си сътрудничат чрез двустранни или регионални планове, предназначени да осигурят екологосъобразно управление на отпадъците:</w:t>
      </w:r>
    </w:p>
    <w:p w14:paraId="7F650B2A" w14:textId="77777777" w:rsidR="00DE346D" w:rsidRDefault="00DE346D">
      <w:pPr>
        <w:jc w:val="both"/>
        <w:rPr>
          <w:sz w:val="20"/>
        </w:rPr>
        <w:sectPr w:rsidR="00DE346D">
          <w:pgSz w:w="11910" w:h="16850"/>
          <w:pgMar w:top="1340" w:right="1140" w:bottom="280" w:left="1360" w:header="849" w:footer="0" w:gutter="0"/>
          <w:cols w:space="720"/>
        </w:sectPr>
      </w:pPr>
    </w:p>
    <w:p w14:paraId="7F650B2B" w14:textId="77777777" w:rsidR="00DE346D" w:rsidRDefault="00DE346D">
      <w:pPr>
        <w:pStyle w:val="BodyText"/>
      </w:pPr>
    </w:p>
    <w:p w14:paraId="7F650B2C" w14:textId="77777777" w:rsidR="00DE346D" w:rsidRDefault="00DE346D">
      <w:pPr>
        <w:pStyle w:val="BodyText"/>
        <w:spacing w:before="6"/>
        <w:rPr>
          <w:sz w:val="27"/>
        </w:rPr>
      </w:pPr>
    </w:p>
    <w:p w14:paraId="7F650B2D" w14:textId="77777777" w:rsidR="00DE346D" w:rsidRDefault="00A339EF">
      <w:pPr>
        <w:pStyle w:val="ListParagraph"/>
        <w:numPr>
          <w:ilvl w:val="1"/>
          <w:numId w:val="4"/>
        </w:numPr>
        <w:tabs>
          <w:tab w:val="left" w:pos="681"/>
        </w:tabs>
        <w:spacing w:before="93" w:line="242" w:lineRule="auto"/>
        <w:ind w:right="107" w:firstLine="0"/>
        <w:jc w:val="both"/>
        <w:rPr>
          <w:sz w:val="20"/>
        </w:rPr>
      </w:pPr>
      <w:r>
        <w:rPr>
          <w:sz w:val="20"/>
        </w:rPr>
        <w:t>В интерес на насърчаването на екологосъобразно управление на отпадъците следва да се предприемат подходящи стъпки за предоставяне на техническа помощ и обучение в областта на управлението на отпадъците на онези страни, които се нуждаят от такава помощ и които я поискат.</w:t>
      </w:r>
    </w:p>
    <w:p w14:paraId="7F650B2E" w14:textId="77777777" w:rsidR="00DE346D" w:rsidRDefault="00DE346D">
      <w:pPr>
        <w:spacing w:line="242" w:lineRule="auto"/>
        <w:jc w:val="both"/>
        <w:rPr>
          <w:sz w:val="20"/>
        </w:rPr>
        <w:sectPr w:rsidR="00DE346D">
          <w:pgSz w:w="11910" w:h="16850"/>
          <w:pgMar w:top="1340" w:right="1140" w:bottom="280" w:left="1360" w:header="849" w:footer="0" w:gutter="0"/>
          <w:cols w:space="720"/>
        </w:sectPr>
      </w:pPr>
    </w:p>
    <w:p w14:paraId="7F650B2F" w14:textId="77777777" w:rsidR="00DE346D" w:rsidRDefault="00A339EF">
      <w:pPr>
        <w:pStyle w:val="Heading2"/>
      </w:pPr>
      <w:bookmarkStart w:id="0" w:name="About_the_OECD"/>
      <w:bookmarkEnd w:id="0"/>
      <w:r>
        <w:rPr>
          <w:color w:val="1F4679"/>
        </w:rPr>
        <w:lastRenderedPageBreak/>
        <w:t>Относно ОИСР</w:t>
      </w:r>
    </w:p>
    <w:p w14:paraId="7F650B30" w14:textId="77777777" w:rsidR="00DE346D" w:rsidRDefault="00DE346D">
      <w:pPr>
        <w:pStyle w:val="BodyText"/>
        <w:spacing w:before="5"/>
        <w:rPr>
          <w:b/>
          <w:sz w:val="21"/>
        </w:rPr>
      </w:pPr>
    </w:p>
    <w:p w14:paraId="7F650B31" w14:textId="77777777" w:rsidR="00DE346D" w:rsidRDefault="00A339EF">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 международни политики.</w:t>
      </w:r>
    </w:p>
    <w:p w14:paraId="7F650B32" w14:textId="77777777" w:rsidR="00DE346D" w:rsidRDefault="00DE346D">
      <w:pPr>
        <w:pStyle w:val="BodyText"/>
        <w:spacing w:before="10"/>
      </w:pPr>
    </w:p>
    <w:p w14:paraId="7F650B33" w14:textId="77777777" w:rsidR="00DE346D" w:rsidRDefault="00A339EF">
      <w:pPr>
        <w:pStyle w:val="BodyText"/>
        <w:ind w:left="115" w:right="144" w:hanging="3"/>
        <w:jc w:val="both"/>
      </w:pPr>
      <w:r>
        <w:t>Страните членки на ОИСР са: 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Зеландия, Норвегия,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7F650B34" w14:textId="77777777" w:rsidR="00DE346D" w:rsidRDefault="00DE346D">
      <w:pPr>
        <w:pStyle w:val="BodyText"/>
        <w:rPr>
          <w:sz w:val="22"/>
        </w:rPr>
      </w:pPr>
    </w:p>
    <w:p w14:paraId="7F650B35" w14:textId="77777777" w:rsidR="00DE346D" w:rsidRDefault="00A339EF">
      <w:pPr>
        <w:pStyle w:val="Heading2"/>
        <w:spacing w:before="141"/>
      </w:pPr>
      <w:bookmarkStart w:id="1" w:name="OECD_Legal_Instruments"/>
      <w:bookmarkEnd w:id="1"/>
      <w:r>
        <w:rPr>
          <w:color w:val="1F4679"/>
        </w:rPr>
        <w:t>Правни инструменти на ОИСР</w:t>
      </w:r>
    </w:p>
    <w:p w14:paraId="7F650B36" w14:textId="77777777" w:rsidR="00DE346D" w:rsidRDefault="00DE346D">
      <w:pPr>
        <w:pStyle w:val="BodyText"/>
        <w:spacing w:before="7"/>
        <w:rPr>
          <w:b/>
          <w:sz w:val="21"/>
        </w:rPr>
      </w:pPr>
    </w:p>
    <w:p w14:paraId="7F650B37" w14:textId="77777777" w:rsidR="00DE346D" w:rsidRDefault="00A339EF">
      <w:pPr>
        <w:pStyle w:val="BodyText"/>
        <w:ind w:left="116" w:right="150"/>
        <w:jc w:val="both"/>
      </w:pPr>
      <w:r>
        <w:t>От създаването на ОИСР през 1961 г. в рамките на ОИСР са разработени около 460 материалноправни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декларации, международни споразумения).</w:t>
      </w:r>
    </w:p>
    <w:p w14:paraId="7F650B38" w14:textId="77777777" w:rsidR="00DE346D" w:rsidRDefault="00DE346D">
      <w:pPr>
        <w:pStyle w:val="BodyText"/>
        <w:spacing w:before="10"/>
      </w:pPr>
    </w:p>
    <w:p w14:paraId="7F650B39" w14:textId="77777777" w:rsidR="00DE346D" w:rsidRDefault="00A339EF">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7F650B3A" w14:textId="77777777" w:rsidR="00DE346D" w:rsidRDefault="00DE346D">
      <w:pPr>
        <w:pStyle w:val="BodyText"/>
        <w:spacing w:before="8"/>
        <w:rPr>
          <w:sz w:val="18"/>
        </w:rPr>
      </w:pPr>
    </w:p>
    <w:p w14:paraId="7F650B3B" w14:textId="77777777" w:rsidR="00DE346D" w:rsidRDefault="00A339EF">
      <w:pPr>
        <w:pStyle w:val="ListParagraph"/>
        <w:numPr>
          <w:ilvl w:val="0"/>
          <w:numId w:val="1"/>
        </w:numPr>
        <w:tabs>
          <w:tab w:val="left" w:pos="852"/>
          <w:tab w:val="left" w:pos="853"/>
        </w:tabs>
        <w:spacing w:line="242" w:lineRule="auto"/>
        <w:rPr>
          <w:sz w:val="20"/>
        </w:rPr>
      </w:pPr>
      <w:r>
        <w:rPr>
          <w:b/>
          <w:sz w:val="20"/>
        </w:rPr>
        <w:t>Решенията</w:t>
      </w:r>
      <w:r>
        <w:rPr>
          <w:sz w:val="20"/>
        </w:rPr>
        <w:t xml:space="preserve"> се приемат от Съвета и са правно обвързващи за всички страни-членки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7F650B3C" w14:textId="77777777" w:rsidR="00DE346D" w:rsidRDefault="00DE346D">
      <w:pPr>
        <w:pStyle w:val="BodyText"/>
        <w:spacing w:before="7"/>
        <w:rPr>
          <w:sz w:val="17"/>
        </w:rPr>
      </w:pPr>
    </w:p>
    <w:p w14:paraId="7F650B3D" w14:textId="77777777" w:rsidR="00DE346D" w:rsidRDefault="00A339EF">
      <w:pPr>
        <w:pStyle w:val="ListParagraph"/>
        <w:numPr>
          <w:ilvl w:val="0"/>
          <w:numId w:val="1"/>
        </w:numPr>
        <w:tabs>
          <w:tab w:val="left" w:pos="852"/>
          <w:tab w:val="left" w:pos="853"/>
        </w:tabs>
        <w:spacing w:line="242" w:lineRule="auto"/>
        <w:ind w:right="105"/>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присъединилите се страни ще направят всичко възможно, за да ги изпълнят.</w:t>
      </w:r>
    </w:p>
    <w:p w14:paraId="7F650B3E" w14:textId="77777777" w:rsidR="00DE346D" w:rsidRDefault="00DE346D">
      <w:pPr>
        <w:pStyle w:val="BodyText"/>
        <w:spacing w:before="7"/>
        <w:rPr>
          <w:sz w:val="17"/>
        </w:rPr>
      </w:pPr>
    </w:p>
    <w:p w14:paraId="7F650B3F" w14:textId="77777777" w:rsidR="00DE346D" w:rsidRDefault="00A339EF">
      <w:pPr>
        <w:pStyle w:val="ListParagraph"/>
        <w:numPr>
          <w:ilvl w:val="0"/>
          <w:numId w:val="1"/>
        </w:numPr>
        <w:tabs>
          <w:tab w:val="left" w:pos="852"/>
          <w:tab w:val="left" w:pos="853"/>
        </w:tabs>
        <w:spacing w:line="242" w:lineRule="auto"/>
        <w:ind w:right="103"/>
        <w:rPr>
          <w:sz w:val="20"/>
        </w:rPr>
      </w:pPr>
      <w:r>
        <w:rPr>
          <w:b/>
          <w:sz w:val="20"/>
        </w:rPr>
        <w:t>Документите за съществени резултати</w:t>
      </w:r>
      <w:r>
        <w:rPr>
          <w:sz w:val="20"/>
        </w:rPr>
        <w:t xml:space="preserve"> се приемат от отделните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7F650B40" w14:textId="77777777" w:rsidR="00DE346D" w:rsidRDefault="00DE346D">
      <w:pPr>
        <w:pStyle w:val="BodyText"/>
        <w:spacing w:before="10"/>
        <w:rPr>
          <w:sz w:val="17"/>
        </w:rPr>
      </w:pPr>
    </w:p>
    <w:p w14:paraId="7F650B41" w14:textId="77777777" w:rsidR="00DE346D" w:rsidRDefault="00A339EF">
      <w:pPr>
        <w:pStyle w:val="ListParagraph"/>
        <w:numPr>
          <w:ilvl w:val="0"/>
          <w:numId w:val="1"/>
        </w:numPr>
        <w:tabs>
          <w:tab w:val="left" w:pos="852"/>
          <w:tab w:val="left" w:pos="853"/>
        </w:tabs>
        <w:ind w:right="114"/>
        <w:rPr>
          <w:sz w:val="20"/>
        </w:rPr>
      </w:pPr>
      <w:r>
        <w:rPr>
          <w:sz w:val="20"/>
        </w:rPr>
        <w:t xml:space="preserve">В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7F650B42" w14:textId="77777777" w:rsidR="00DE346D" w:rsidRDefault="00DE346D">
      <w:pPr>
        <w:pStyle w:val="BodyText"/>
        <w:spacing w:before="7"/>
        <w:rPr>
          <w:sz w:val="19"/>
        </w:rPr>
      </w:pPr>
    </w:p>
    <w:p w14:paraId="7F650B43" w14:textId="77777777" w:rsidR="00DE346D" w:rsidRDefault="00A339EF">
      <w:pPr>
        <w:pStyle w:val="ListParagraph"/>
        <w:numPr>
          <w:ilvl w:val="0"/>
          <w:numId w:val="1"/>
        </w:numPr>
        <w:tabs>
          <w:tab w:val="left" w:pos="852"/>
          <w:tab w:val="left" w:pos="853"/>
        </w:tabs>
        <w:ind w:right="108" w:hanging="710"/>
        <w:rPr>
          <w:sz w:val="20"/>
        </w:rPr>
      </w:pPr>
      <w:r>
        <w:rPr>
          <w:b/>
          <w:sz w:val="20"/>
        </w:rPr>
        <w:t>Споразумение, разбирателство и други</w:t>
      </w:r>
      <w:r>
        <w:rPr>
          <w:sz w:val="20"/>
        </w:rPr>
        <w:t>: няколко други типа материалноправни инструменти са разработени в рамките на ОИСР с течение на времето, 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DE346D">
      <w:headerReference w:type="even" r:id="rId16"/>
      <w:pgSz w:w="11940" w:h="16860"/>
      <w:pgMar w:top="1300" w:right="1260" w:bottom="280" w:left="13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443156" w14:textId="77777777" w:rsidR="00A339EF" w:rsidRDefault="00A339EF">
      <w:r>
        <w:separator/>
      </w:r>
    </w:p>
  </w:endnote>
  <w:endnote w:type="continuationSeparator" w:id="0">
    <w:p w14:paraId="59D95FB6" w14:textId="77777777" w:rsidR="00A339EF" w:rsidRDefault="00A339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altName w:val="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03A70" w14:textId="77777777" w:rsidR="00A339EF" w:rsidRDefault="00A339EF">
      <w:r>
        <w:separator/>
      </w:r>
    </w:p>
  </w:footnote>
  <w:footnote w:type="continuationSeparator" w:id="0">
    <w:p w14:paraId="6C250C30" w14:textId="77777777" w:rsidR="00A339EF" w:rsidRDefault="00A339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50B4B" w14:textId="4FEC4992" w:rsidR="00DE346D" w:rsidRPr="000D3FAB" w:rsidRDefault="000D3FAB" w:rsidP="000D3FAB">
    <w:pPr>
      <w:pStyle w:val="Header"/>
      <w:pBdr>
        <w:bottom w:val="single" w:sz="4" w:space="1" w:color="auto"/>
      </w:pBdr>
    </w:pPr>
    <w:r>
      <w:t>OECD/LEGAL/0260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50B4C" w14:textId="77777777" w:rsidR="00DE346D" w:rsidRDefault="00F96BE3">
    <w:pPr>
      <w:pStyle w:val="BodyText"/>
      <w:spacing w:line="14" w:lineRule="auto"/>
    </w:pPr>
    <w:r>
      <w:pict w14:anchorId="7F650B50">
        <v:line id="_x0000_s1028" style="position:absolute;z-index:-15885824;mso-position-horizontal-relative:page;mso-position-vertical-relative:page" from="42.5pt,56.05pt" to="438.6pt,56.05pt" strokecolor="#2a2928" strokeweight=".63pt">
          <w10:wrap anchorx="page" anchory="page"/>
        </v:line>
      </w:pict>
    </w:r>
    <w:r>
      <w:pict w14:anchorId="7F650B51">
        <v:shapetype id="_x0000_t202" coordsize="21600,21600" o:spt="202" path="m,l,21600r21600,l21600,xe">
          <v:stroke joinstyle="miter"/>
          <v:path gradientshapeok="t" o:connecttype="rect"/>
        </v:shapetype>
        <v:shape id="_x0000_s1027" type="#_x0000_t202" style="position:absolute;margin-left:432.1pt;margin-top:41.3pt;width:126pt;height:16.05pt;z-index:-15885312;mso-position-horizontal-relative:page;mso-position-vertical-relative:page" filled="f" stroked="f">
          <v:textbox inset="0,0,0,0">
            <w:txbxContent>
              <w:p w14:paraId="7F650B54" w14:textId="1D462E49" w:rsidR="00DE346D" w:rsidRPr="00E07757" w:rsidRDefault="00E07757">
                <w:pPr>
                  <w:pStyle w:val="BodyText"/>
                  <w:tabs>
                    <w:tab w:val="left" w:pos="2308"/>
                  </w:tabs>
                  <w:spacing w:before="18"/>
                  <w:ind w:left="20"/>
                </w:pPr>
                <w:r>
                  <w:rPr>
                    <w:color w:val="2B2A29"/>
                  </w:rPr>
                  <w:t>OECD/LEGAL/02</w:t>
                </w:r>
                <w:r w:rsidR="000D3FAB">
                  <w:rPr>
                    <w:color w:val="2B2A29"/>
                  </w:rPr>
                  <w:t>60</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50B4D" w14:textId="77777777" w:rsidR="00DE346D" w:rsidRDefault="00DE346D">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15656E"/>
    <w:multiLevelType w:val="hybridMultilevel"/>
    <w:tmpl w:val="FBB034DA"/>
    <w:lvl w:ilvl="0" w:tplc="0ACE0210">
      <w:start w:val="1"/>
      <w:numFmt w:val="upperRoman"/>
      <w:lvlText w:val="%1."/>
      <w:lvlJc w:val="left"/>
      <w:pPr>
        <w:ind w:left="680" w:hanging="492"/>
        <w:jc w:val="left"/>
      </w:pPr>
      <w:rPr>
        <w:rFonts w:ascii="Arial" w:eastAsia="Arial" w:hAnsi="Arial" w:cs="Arial" w:hint="default"/>
        <w:b/>
        <w:bCs/>
        <w:spacing w:val="-1"/>
        <w:w w:val="99"/>
        <w:sz w:val="20"/>
        <w:szCs w:val="20"/>
        <w:lang w:val="en-US" w:eastAsia="en-US" w:bidi="ar-SA"/>
      </w:rPr>
    </w:lvl>
    <w:lvl w:ilvl="1" w:tplc="68841E28">
      <w:start w:val="1"/>
      <w:numFmt w:val="decimal"/>
      <w:lvlText w:val="%2."/>
      <w:lvlJc w:val="left"/>
      <w:pPr>
        <w:ind w:left="188" w:hanging="492"/>
        <w:jc w:val="left"/>
      </w:pPr>
      <w:rPr>
        <w:rFonts w:ascii="Arial" w:eastAsia="Arial" w:hAnsi="Arial" w:cs="Arial" w:hint="default"/>
        <w:spacing w:val="-1"/>
        <w:w w:val="99"/>
        <w:sz w:val="20"/>
        <w:szCs w:val="20"/>
        <w:lang w:val="en-US" w:eastAsia="en-US" w:bidi="ar-SA"/>
      </w:rPr>
    </w:lvl>
    <w:lvl w:ilvl="2" w:tplc="30941FCE">
      <w:numFmt w:val="bullet"/>
      <w:lvlText w:val="•"/>
      <w:lvlJc w:val="left"/>
      <w:pPr>
        <w:ind w:left="1649" w:hanging="492"/>
      </w:pPr>
      <w:rPr>
        <w:rFonts w:hint="default"/>
        <w:lang w:val="en-US" w:eastAsia="en-US" w:bidi="ar-SA"/>
      </w:rPr>
    </w:lvl>
    <w:lvl w:ilvl="3" w:tplc="9CB094D4">
      <w:numFmt w:val="bullet"/>
      <w:lvlText w:val="•"/>
      <w:lvlJc w:val="left"/>
      <w:pPr>
        <w:ind w:left="2619" w:hanging="492"/>
      </w:pPr>
      <w:rPr>
        <w:rFonts w:hint="default"/>
        <w:lang w:val="en-US" w:eastAsia="en-US" w:bidi="ar-SA"/>
      </w:rPr>
    </w:lvl>
    <w:lvl w:ilvl="4" w:tplc="36582A1A">
      <w:numFmt w:val="bullet"/>
      <w:lvlText w:val="•"/>
      <w:lvlJc w:val="left"/>
      <w:pPr>
        <w:ind w:left="3588" w:hanging="492"/>
      </w:pPr>
      <w:rPr>
        <w:rFonts w:hint="default"/>
        <w:lang w:val="en-US" w:eastAsia="en-US" w:bidi="ar-SA"/>
      </w:rPr>
    </w:lvl>
    <w:lvl w:ilvl="5" w:tplc="949C92B2">
      <w:numFmt w:val="bullet"/>
      <w:lvlText w:val="•"/>
      <w:lvlJc w:val="left"/>
      <w:pPr>
        <w:ind w:left="4558" w:hanging="492"/>
      </w:pPr>
      <w:rPr>
        <w:rFonts w:hint="default"/>
        <w:lang w:val="en-US" w:eastAsia="en-US" w:bidi="ar-SA"/>
      </w:rPr>
    </w:lvl>
    <w:lvl w:ilvl="6" w:tplc="1FC4282C">
      <w:numFmt w:val="bullet"/>
      <w:lvlText w:val="•"/>
      <w:lvlJc w:val="left"/>
      <w:pPr>
        <w:ind w:left="5528" w:hanging="492"/>
      </w:pPr>
      <w:rPr>
        <w:rFonts w:hint="default"/>
        <w:lang w:val="en-US" w:eastAsia="en-US" w:bidi="ar-SA"/>
      </w:rPr>
    </w:lvl>
    <w:lvl w:ilvl="7" w:tplc="744AC414">
      <w:numFmt w:val="bullet"/>
      <w:lvlText w:val="•"/>
      <w:lvlJc w:val="left"/>
      <w:pPr>
        <w:ind w:left="6497" w:hanging="492"/>
      </w:pPr>
      <w:rPr>
        <w:rFonts w:hint="default"/>
        <w:lang w:val="en-US" w:eastAsia="en-US" w:bidi="ar-SA"/>
      </w:rPr>
    </w:lvl>
    <w:lvl w:ilvl="8" w:tplc="E9867962">
      <w:numFmt w:val="bullet"/>
      <w:lvlText w:val="•"/>
      <w:lvlJc w:val="left"/>
      <w:pPr>
        <w:ind w:left="7467" w:hanging="492"/>
      </w:pPr>
      <w:rPr>
        <w:rFonts w:hint="default"/>
        <w:lang w:val="en-US" w:eastAsia="en-US" w:bidi="ar-SA"/>
      </w:rPr>
    </w:lvl>
  </w:abstractNum>
  <w:abstractNum w:abstractNumId="1" w15:restartNumberingAfterBreak="0">
    <w:nsid w:val="342F39BC"/>
    <w:multiLevelType w:val="hybridMultilevel"/>
    <w:tmpl w:val="3EC479B6"/>
    <w:lvl w:ilvl="0" w:tplc="AD9A58E8">
      <w:start w:val="1"/>
      <w:numFmt w:val="lowerLetter"/>
      <w:lvlText w:val="%1)"/>
      <w:lvlJc w:val="left"/>
      <w:pPr>
        <w:ind w:left="682" w:hanging="569"/>
        <w:jc w:val="left"/>
      </w:pPr>
      <w:rPr>
        <w:rFonts w:ascii="Arial" w:eastAsia="Arial" w:hAnsi="Arial" w:cs="Arial" w:hint="default"/>
        <w:spacing w:val="-1"/>
        <w:w w:val="99"/>
        <w:sz w:val="20"/>
        <w:szCs w:val="20"/>
        <w:lang w:val="en-US" w:eastAsia="en-US" w:bidi="ar-SA"/>
      </w:rPr>
    </w:lvl>
    <w:lvl w:ilvl="1" w:tplc="26D0599A">
      <w:numFmt w:val="bullet"/>
      <w:lvlText w:val="•"/>
      <w:lvlJc w:val="left"/>
      <w:pPr>
        <w:ind w:left="1552" w:hanging="569"/>
      </w:pPr>
      <w:rPr>
        <w:rFonts w:hint="default"/>
        <w:lang w:val="en-US" w:eastAsia="en-US" w:bidi="ar-SA"/>
      </w:rPr>
    </w:lvl>
    <w:lvl w:ilvl="2" w:tplc="D9B8EC94">
      <w:numFmt w:val="bullet"/>
      <w:lvlText w:val="•"/>
      <w:lvlJc w:val="left"/>
      <w:pPr>
        <w:ind w:left="2425" w:hanging="569"/>
      </w:pPr>
      <w:rPr>
        <w:rFonts w:hint="default"/>
        <w:lang w:val="en-US" w:eastAsia="en-US" w:bidi="ar-SA"/>
      </w:rPr>
    </w:lvl>
    <w:lvl w:ilvl="3" w:tplc="9C12F87C">
      <w:numFmt w:val="bullet"/>
      <w:lvlText w:val="•"/>
      <w:lvlJc w:val="left"/>
      <w:pPr>
        <w:ind w:left="3297" w:hanging="569"/>
      </w:pPr>
      <w:rPr>
        <w:rFonts w:hint="default"/>
        <w:lang w:val="en-US" w:eastAsia="en-US" w:bidi="ar-SA"/>
      </w:rPr>
    </w:lvl>
    <w:lvl w:ilvl="4" w:tplc="2F5E9344">
      <w:numFmt w:val="bullet"/>
      <w:lvlText w:val="•"/>
      <w:lvlJc w:val="left"/>
      <w:pPr>
        <w:ind w:left="4170" w:hanging="569"/>
      </w:pPr>
      <w:rPr>
        <w:rFonts w:hint="default"/>
        <w:lang w:val="en-US" w:eastAsia="en-US" w:bidi="ar-SA"/>
      </w:rPr>
    </w:lvl>
    <w:lvl w:ilvl="5" w:tplc="2E50FD7E">
      <w:numFmt w:val="bullet"/>
      <w:lvlText w:val="•"/>
      <w:lvlJc w:val="left"/>
      <w:pPr>
        <w:ind w:left="5043" w:hanging="569"/>
      </w:pPr>
      <w:rPr>
        <w:rFonts w:hint="default"/>
        <w:lang w:val="en-US" w:eastAsia="en-US" w:bidi="ar-SA"/>
      </w:rPr>
    </w:lvl>
    <w:lvl w:ilvl="6" w:tplc="5238B0A2">
      <w:numFmt w:val="bullet"/>
      <w:lvlText w:val="•"/>
      <w:lvlJc w:val="left"/>
      <w:pPr>
        <w:ind w:left="5915" w:hanging="569"/>
      </w:pPr>
      <w:rPr>
        <w:rFonts w:hint="default"/>
        <w:lang w:val="en-US" w:eastAsia="en-US" w:bidi="ar-SA"/>
      </w:rPr>
    </w:lvl>
    <w:lvl w:ilvl="7" w:tplc="A378DA3C">
      <w:numFmt w:val="bullet"/>
      <w:lvlText w:val="•"/>
      <w:lvlJc w:val="left"/>
      <w:pPr>
        <w:ind w:left="6788" w:hanging="569"/>
      </w:pPr>
      <w:rPr>
        <w:rFonts w:hint="default"/>
        <w:lang w:val="en-US" w:eastAsia="en-US" w:bidi="ar-SA"/>
      </w:rPr>
    </w:lvl>
    <w:lvl w:ilvl="8" w:tplc="E76A7B3C">
      <w:numFmt w:val="bullet"/>
      <w:lvlText w:val="•"/>
      <w:lvlJc w:val="left"/>
      <w:pPr>
        <w:ind w:left="7661" w:hanging="569"/>
      </w:pPr>
      <w:rPr>
        <w:rFonts w:hint="default"/>
        <w:lang w:val="en-US" w:eastAsia="en-US" w:bidi="ar-SA"/>
      </w:rPr>
    </w:lvl>
  </w:abstractNum>
  <w:abstractNum w:abstractNumId="2" w15:restartNumberingAfterBreak="0">
    <w:nsid w:val="624C38B3"/>
    <w:multiLevelType w:val="hybridMultilevel"/>
    <w:tmpl w:val="D6FC2FC8"/>
    <w:lvl w:ilvl="0" w:tplc="5146512C">
      <w:numFmt w:val="bullet"/>
      <w:lvlText w:val=""/>
      <w:lvlJc w:val="left"/>
      <w:pPr>
        <w:ind w:left="852" w:hanging="711"/>
      </w:pPr>
      <w:rPr>
        <w:rFonts w:ascii="Symbol" w:eastAsia="Symbol" w:hAnsi="Symbol" w:cs="Symbol" w:hint="default"/>
        <w:w w:val="95"/>
        <w:sz w:val="20"/>
        <w:szCs w:val="20"/>
        <w:lang w:val="en-US" w:eastAsia="en-US" w:bidi="ar-SA"/>
      </w:rPr>
    </w:lvl>
    <w:lvl w:ilvl="1" w:tplc="9686F96A">
      <w:numFmt w:val="bullet"/>
      <w:lvlText w:val="•"/>
      <w:lvlJc w:val="left"/>
      <w:pPr>
        <w:ind w:left="1712" w:hanging="711"/>
      </w:pPr>
      <w:rPr>
        <w:rFonts w:hint="default"/>
        <w:lang w:val="en-US" w:eastAsia="en-US" w:bidi="ar-SA"/>
      </w:rPr>
    </w:lvl>
    <w:lvl w:ilvl="2" w:tplc="1188D3CC">
      <w:numFmt w:val="bullet"/>
      <w:lvlText w:val="•"/>
      <w:lvlJc w:val="left"/>
      <w:pPr>
        <w:ind w:left="2564" w:hanging="711"/>
      </w:pPr>
      <w:rPr>
        <w:rFonts w:hint="default"/>
        <w:lang w:val="en-US" w:eastAsia="en-US" w:bidi="ar-SA"/>
      </w:rPr>
    </w:lvl>
    <w:lvl w:ilvl="3" w:tplc="C488387E">
      <w:numFmt w:val="bullet"/>
      <w:lvlText w:val="•"/>
      <w:lvlJc w:val="left"/>
      <w:pPr>
        <w:ind w:left="3416" w:hanging="711"/>
      </w:pPr>
      <w:rPr>
        <w:rFonts w:hint="default"/>
        <w:lang w:val="en-US" w:eastAsia="en-US" w:bidi="ar-SA"/>
      </w:rPr>
    </w:lvl>
    <w:lvl w:ilvl="4" w:tplc="A4E8DDCA">
      <w:numFmt w:val="bullet"/>
      <w:lvlText w:val="•"/>
      <w:lvlJc w:val="left"/>
      <w:pPr>
        <w:ind w:left="4268" w:hanging="711"/>
      </w:pPr>
      <w:rPr>
        <w:rFonts w:hint="default"/>
        <w:lang w:val="en-US" w:eastAsia="en-US" w:bidi="ar-SA"/>
      </w:rPr>
    </w:lvl>
    <w:lvl w:ilvl="5" w:tplc="42B46392">
      <w:numFmt w:val="bullet"/>
      <w:lvlText w:val="•"/>
      <w:lvlJc w:val="left"/>
      <w:pPr>
        <w:ind w:left="5120" w:hanging="711"/>
      </w:pPr>
      <w:rPr>
        <w:rFonts w:hint="default"/>
        <w:lang w:val="en-US" w:eastAsia="en-US" w:bidi="ar-SA"/>
      </w:rPr>
    </w:lvl>
    <w:lvl w:ilvl="6" w:tplc="47CCCE04">
      <w:numFmt w:val="bullet"/>
      <w:lvlText w:val="•"/>
      <w:lvlJc w:val="left"/>
      <w:pPr>
        <w:ind w:left="5972" w:hanging="711"/>
      </w:pPr>
      <w:rPr>
        <w:rFonts w:hint="default"/>
        <w:lang w:val="en-US" w:eastAsia="en-US" w:bidi="ar-SA"/>
      </w:rPr>
    </w:lvl>
    <w:lvl w:ilvl="7" w:tplc="1DF6C988">
      <w:numFmt w:val="bullet"/>
      <w:lvlText w:val="•"/>
      <w:lvlJc w:val="left"/>
      <w:pPr>
        <w:ind w:left="6824" w:hanging="711"/>
      </w:pPr>
      <w:rPr>
        <w:rFonts w:hint="default"/>
        <w:lang w:val="en-US" w:eastAsia="en-US" w:bidi="ar-SA"/>
      </w:rPr>
    </w:lvl>
    <w:lvl w:ilvl="8" w:tplc="0A8AB400">
      <w:numFmt w:val="bullet"/>
      <w:lvlText w:val="•"/>
      <w:lvlJc w:val="left"/>
      <w:pPr>
        <w:ind w:left="7676" w:hanging="711"/>
      </w:pPr>
      <w:rPr>
        <w:rFonts w:hint="default"/>
        <w:lang w:val="en-US" w:eastAsia="en-US" w:bidi="ar-SA"/>
      </w:rPr>
    </w:lvl>
  </w:abstractNum>
  <w:abstractNum w:abstractNumId="3" w15:restartNumberingAfterBreak="0">
    <w:nsid w:val="7E8A3F59"/>
    <w:multiLevelType w:val="hybridMultilevel"/>
    <w:tmpl w:val="03C4D604"/>
    <w:lvl w:ilvl="0" w:tplc="EFD41616">
      <w:start w:val="1"/>
      <w:numFmt w:val="lowerLetter"/>
      <w:lvlText w:val="%1)"/>
      <w:lvlJc w:val="left"/>
      <w:pPr>
        <w:ind w:left="682" w:hanging="569"/>
        <w:jc w:val="left"/>
      </w:pPr>
      <w:rPr>
        <w:rFonts w:ascii="Arial" w:eastAsia="Arial" w:hAnsi="Arial" w:cs="Arial" w:hint="default"/>
        <w:spacing w:val="-1"/>
        <w:w w:val="99"/>
        <w:sz w:val="20"/>
        <w:szCs w:val="20"/>
        <w:lang w:val="en-US" w:eastAsia="en-US" w:bidi="ar-SA"/>
      </w:rPr>
    </w:lvl>
    <w:lvl w:ilvl="1" w:tplc="A96ABC1C">
      <w:numFmt w:val="bullet"/>
      <w:lvlText w:val="•"/>
      <w:lvlJc w:val="left"/>
      <w:pPr>
        <w:ind w:left="1552" w:hanging="569"/>
      </w:pPr>
      <w:rPr>
        <w:rFonts w:hint="default"/>
        <w:lang w:val="en-US" w:eastAsia="en-US" w:bidi="ar-SA"/>
      </w:rPr>
    </w:lvl>
    <w:lvl w:ilvl="2" w:tplc="FAAADD48">
      <w:numFmt w:val="bullet"/>
      <w:lvlText w:val="•"/>
      <w:lvlJc w:val="left"/>
      <w:pPr>
        <w:ind w:left="2425" w:hanging="569"/>
      </w:pPr>
      <w:rPr>
        <w:rFonts w:hint="default"/>
        <w:lang w:val="en-US" w:eastAsia="en-US" w:bidi="ar-SA"/>
      </w:rPr>
    </w:lvl>
    <w:lvl w:ilvl="3" w:tplc="C31C9774">
      <w:numFmt w:val="bullet"/>
      <w:lvlText w:val="•"/>
      <w:lvlJc w:val="left"/>
      <w:pPr>
        <w:ind w:left="3297" w:hanging="569"/>
      </w:pPr>
      <w:rPr>
        <w:rFonts w:hint="default"/>
        <w:lang w:val="en-US" w:eastAsia="en-US" w:bidi="ar-SA"/>
      </w:rPr>
    </w:lvl>
    <w:lvl w:ilvl="4" w:tplc="D5780CFA">
      <w:numFmt w:val="bullet"/>
      <w:lvlText w:val="•"/>
      <w:lvlJc w:val="left"/>
      <w:pPr>
        <w:ind w:left="4170" w:hanging="569"/>
      </w:pPr>
      <w:rPr>
        <w:rFonts w:hint="default"/>
        <w:lang w:val="en-US" w:eastAsia="en-US" w:bidi="ar-SA"/>
      </w:rPr>
    </w:lvl>
    <w:lvl w:ilvl="5" w:tplc="5950C3AA">
      <w:numFmt w:val="bullet"/>
      <w:lvlText w:val="•"/>
      <w:lvlJc w:val="left"/>
      <w:pPr>
        <w:ind w:left="5043" w:hanging="569"/>
      </w:pPr>
      <w:rPr>
        <w:rFonts w:hint="default"/>
        <w:lang w:val="en-US" w:eastAsia="en-US" w:bidi="ar-SA"/>
      </w:rPr>
    </w:lvl>
    <w:lvl w:ilvl="6" w:tplc="06042970">
      <w:numFmt w:val="bullet"/>
      <w:lvlText w:val="•"/>
      <w:lvlJc w:val="left"/>
      <w:pPr>
        <w:ind w:left="5915" w:hanging="569"/>
      </w:pPr>
      <w:rPr>
        <w:rFonts w:hint="default"/>
        <w:lang w:val="en-US" w:eastAsia="en-US" w:bidi="ar-SA"/>
      </w:rPr>
    </w:lvl>
    <w:lvl w:ilvl="7" w:tplc="2CBC9C3E">
      <w:numFmt w:val="bullet"/>
      <w:lvlText w:val="•"/>
      <w:lvlJc w:val="left"/>
      <w:pPr>
        <w:ind w:left="6788" w:hanging="569"/>
      </w:pPr>
      <w:rPr>
        <w:rFonts w:hint="default"/>
        <w:lang w:val="en-US" w:eastAsia="en-US" w:bidi="ar-SA"/>
      </w:rPr>
    </w:lvl>
    <w:lvl w:ilvl="8" w:tplc="7E922360">
      <w:numFmt w:val="bullet"/>
      <w:lvlText w:val="•"/>
      <w:lvlJc w:val="left"/>
      <w:pPr>
        <w:ind w:left="7661" w:hanging="569"/>
      </w:pPr>
      <w:rPr>
        <w:rFonts w:hint="default"/>
        <w:lang w:val="en-US" w:eastAsia="en-US" w:bidi="ar-SA"/>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20"/>
  <w:evenAndOddHeaders/>
  <w:drawingGridHorizontalSpacing w:val="110"/>
  <w:displayHorizontalDrawingGridEvery w:val="2"/>
  <w:characterSpacingControl w:val="doNotCompress"/>
  <w:hdrShapeDefaults>
    <o:shapedefaults v:ext="edit" spidmax="2062"/>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DE346D"/>
    <w:rsid w:val="000D3FAB"/>
    <w:rsid w:val="00A339EF"/>
    <w:rsid w:val="00DE346D"/>
    <w:rsid w:val="00E07757"/>
    <w:rsid w:val="00F96B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7F650A66"/>
  <w15:docId w15:val="{0FEE9FFC-2F44-45C5-837E-5BB1380FA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1639"/>
      <w:outlineLvl w:val="0"/>
    </w:pPr>
    <w:rPr>
      <w:sz w:val="40"/>
      <w:szCs w:val="40"/>
    </w:rPr>
  </w:style>
  <w:style w:type="paragraph" w:styleId="Heading2">
    <w:name w:val="heading 2"/>
    <w:basedOn w:val="Normal"/>
    <w:uiPriority w:val="9"/>
    <w:unhideWhenUsed/>
    <w:qFormat/>
    <w:pPr>
      <w:spacing w:before="73"/>
      <w:ind w:left="116"/>
      <w:jc w:val="both"/>
      <w:outlineLvl w:val="1"/>
    </w:pPr>
    <w:rPr>
      <w:b/>
      <w:bCs/>
      <w:sz w:val="24"/>
      <w:szCs w:val="24"/>
    </w:rPr>
  </w:style>
  <w:style w:type="paragraph" w:styleId="Heading3">
    <w:name w:val="heading 3"/>
    <w:basedOn w:val="Normal"/>
    <w:uiPriority w:val="9"/>
    <w:unhideWhenUsed/>
    <w:qFormat/>
    <w:pPr>
      <w:ind w:left="188"/>
      <w:jc w:val="both"/>
      <w:outlineLvl w:val="2"/>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188" w:right="110"/>
      <w:jc w:val="both"/>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E07757"/>
    <w:pPr>
      <w:tabs>
        <w:tab w:val="center" w:pos="4513"/>
        <w:tab w:val="right" w:pos="9026"/>
      </w:tabs>
    </w:pPr>
  </w:style>
  <w:style w:type="character" w:customStyle="1" w:styleId="HeaderChar">
    <w:name w:val="Header Char"/>
    <w:basedOn w:val="DefaultParagraphFont"/>
    <w:link w:val="Header"/>
    <w:uiPriority w:val="99"/>
    <w:rsid w:val="00E07757"/>
    <w:rPr>
      <w:rFonts w:ascii="Arial" w:eastAsia="Arial" w:hAnsi="Arial" w:cs="Arial"/>
    </w:rPr>
  </w:style>
  <w:style w:type="paragraph" w:styleId="Footer">
    <w:name w:val="footer"/>
    <w:basedOn w:val="Normal"/>
    <w:link w:val="FooterChar"/>
    <w:uiPriority w:val="99"/>
    <w:unhideWhenUsed/>
    <w:rsid w:val="00E07757"/>
    <w:pPr>
      <w:tabs>
        <w:tab w:val="center" w:pos="4513"/>
        <w:tab w:val="right" w:pos="9026"/>
      </w:tabs>
    </w:pPr>
  </w:style>
  <w:style w:type="character" w:customStyle="1" w:styleId="FooterChar">
    <w:name w:val="Footer Char"/>
    <w:basedOn w:val="DefaultParagraphFont"/>
    <w:link w:val="Footer"/>
    <w:uiPriority w:val="99"/>
    <w:rsid w:val="00E07757"/>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legalinstruments.oecd.org/"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legalinstruments.oecd.or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9D0805E-176B-4E56-BC7E-E26131DCAE92}">
  <ds:schemaRefs>
    <ds:schemaRef ds:uri="http://schemas.microsoft.com/sharepoint/v3/contenttype/forms"/>
  </ds:schemaRefs>
</ds:datastoreItem>
</file>

<file path=customXml/itemProps2.xml><?xml version="1.0" encoding="utf-8"?>
<ds:datastoreItem xmlns:ds="http://schemas.openxmlformats.org/officeDocument/2006/customXml" ds:itemID="{599E574F-DA97-4149-B7F0-8EF67A25E7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488A48B-CD7C-40DD-B475-AE69BC57113A}"/>
</file>

<file path=docProps/app.xml><?xml version="1.0" encoding="utf-8"?>
<Properties xmlns="http://schemas.openxmlformats.org/officeDocument/2006/extended-properties" xmlns:vt="http://schemas.openxmlformats.org/officeDocument/2006/docPropsVTypes">
  <Template>Normal.dotm</Template>
  <TotalTime>2</TotalTime>
  <Pages>8</Pages>
  <Words>2358</Words>
  <Characters>13444</Characters>
  <Application>Microsoft Office Word</Application>
  <DocSecurity>0</DocSecurity>
  <Lines>112</Lines>
  <Paragraphs>31</Paragraphs>
  <ScaleCrop>false</ScaleCrop>
  <Company/>
  <LinksUpToDate>false</LinksUpToDate>
  <CharactersWithSpaces>15771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Kristina T</cp:lastModifiedBy>
  <cp:revision>4</cp:revision>
  <dcterms:created xsi:type="dcterms:W3CDTF">2022-01-19T08:37:00Z</dcterms:created>
  <dcterms:modified xsi:type="dcterms:W3CDTF">2022-01-31T08:57:00Z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2021-11-23T00:00:00Z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ies>
</file>